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BE" w:rsidRDefault="006335BE" w:rsidP="006335BE">
      <w:p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A LOS ESTADOS FINANCIEROS DE</w:t>
      </w:r>
      <w:r w:rsidR="0062320E">
        <w:rPr>
          <w:rFonts w:ascii="Arial" w:hAnsi="Arial" w:cs="Arial"/>
          <w:b/>
          <w:sz w:val="17"/>
          <w:szCs w:val="17"/>
        </w:rPr>
        <w:t xml:space="preserve"> </w:t>
      </w:r>
      <w:r w:rsidRPr="002D70DA">
        <w:rPr>
          <w:rFonts w:ascii="Arial" w:hAnsi="Arial" w:cs="Arial"/>
          <w:b/>
          <w:sz w:val="17"/>
          <w:szCs w:val="17"/>
        </w:rPr>
        <w:t>L</w:t>
      </w:r>
      <w:r w:rsidR="00B65266">
        <w:rPr>
          <w:rFonts w:ascii="Arial" w:hAnsi="Arial" w:cs="Arial"/>
          <w:b/>
          <w:sz w:val="17"/>
          <w:szCs w:val="17"/>
        </w:rPr>
        <w:t>O</w:t>
      </w:r>
      <w:r w:rsidR="00181A8D">
        <w:rPr>
          <w:rFonts w:ascii="Arial" w:hAnsi="Arial" w:cs="Arial"/>
          <w:b/>
          <w:sz w:val="17"/>
          <w:szCs w:val="17"/>
        </w:rPr>
        <w:t>S</w:t>
      </w:r>
      <w:r w:rsidR="00850AEE" w:rsidRPr="002D70DA">
        <w:rPr>
          <w:rFonts w:ascii="Arial" w:hAnsi="Arial" w:cs="Arial"/>
          <w:b/>
          <w:sz w:val="17"/>
          <w:szCs w:val="17"/>
        </w:rPr>
        <w:t xml:space="preserve"> </w:t>
      </w:r>
      <w:r w:rsidR="006136CD">
        <w:rPr>
          <w:rFonts w:ascii="Arial" w:hAnsi="Arial" w:cs="Arial"/>
          <w:b/>
          <w:sz w:val="17"/>
          <w:szCs w:val="17"/>
        </w:rPr>
        <w:t>FIDEICOMISOS EMPRESARIALES NO FINANCIEROS CON PARTICIPACIÓN ESTATAL MAYORITARIA</w:t>
      </w:r>
    </w:p>
    <w:p w:rsidR="00776AEC" w:rsidRPr="002D70DA" w:rsidRDefault="00776AEC" w:rsidP="006335BE">
      <w:pPr>
        <w:autoSpaceDE w:val="0"/>
        <w:autoSpaceDN w:val="0"/>
        <w:adjustRightInd w:val="0"/>
        <w:spacing w:before="240" w:after="120"/>
        <w:jc w:val="center"/>
        <w:rPr>
          <w:rFonts w:ascii="Arial" w:hAnsi="Arial" w:cs="Arial"/>
          <w:b/>
          <w:sz w:val="17"/>
          <w:szCs w:val="17"/>
        </w:rPr>
      </w:pPr>
    </w:p>
    <w:p w:rsidR="006335BE" w:rsidRPr="002D70DA" w:rsidRDefault="003E7A1F" w:rsidP="006335BE">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Con el propósito de dar cumplimiento a los artículos 46 y 49 de la Ley General de Contabilidad Gubernamental (LGCG)</w:t>
      </w:r>
      <w:r w:rsidR="006335BE" w:rsidRPr="002D70DA">
        <w:rPr>
          <w:rFonts w:ascii="Arial" w:eastAsia="Calibri" w:hAnsi="Arial" w:cs="Arial"/>
          <w:spacing w:val="-1"/>
          <w:sz w:val="17"/>
          <w:szCs w:val="17"/>
        </w:rPr>
        <w:t>, así como a la normatividad emitida por el Consejo Nacional de Armonización Contable</w:t>
      </w:r>
      <w:r w:rsidRPr="002D70DA">
        <w:rPr>
          <w:rFonts w:ascii="Arial" w:eastAsia="Calibri" w:hAnsi="Arial" w:cs="Arial"/>
          <w:spacing w:val="-1"/>
          <w:sz w:val="17"/>
          <w:szCs w:val="17"/>
        </w:rPr>
        <w:t xml:space="preserve"> (CONAC)</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en seguida</w:t>
      </w:r>
      <w:r w:rsidRPr="002D70DA">
        <w:rPr>
          <w:rFonts w:ascii="Arial" w:eastAsia="Calibri" w:hAnsi="Arial" w:cs="Arial"/>
          <w:spacing w:val="-1"/>
          <w:sz w:val="17"/>
          <w:szCs w:val="17"/>
        </w:rPr>
        <w:t>,</w:t>
      </w:r>
      <w:r w:rsidR="006335BE" w:rsidRPr="002D70DA">
        <w:rPr>
          <w:rFonts w:ascii="Arial" w:eastAsia="Calibri" w:hAnsi="Arial" w:cs="Arial"/>
          <w:spacing w:val="-1"/>
          <w:sz w:val="17"/>
          <w:szCs w:val="17"/>
        </w:rPr>
        <w:t xml:space="preserve"> se presentan las notas a los estados financieros correspondientes al</w:t>
      </w:r>
      <w:r w:rsidR="005D109B">
        <w:rPr>
          <w:rFonts w:ascii="Arial" w:eastAsia="Calibri" w:hAnsi="Arial" w:cs="Arial"/>
          <w:spacing w:val="-1"/>
          <w:sz w:val="17"/>
          <w:szCs w:val="17"/>
        </w:rPr>
        <w:t xml:space="preserve"> 3</w:t>
      </w:r>
      <w:r w:rsidR="00316A2A">
        <w:rPr>
          <w:rFonts w:ascii="Arial" w:eastAsia="Calibri" w:hAnsi="Arial" w:cs="Arial"/>
          <w:spacing w:val="-1"/>
          <w:sz w:val="17"/>
          <w:szCs w:val="17"/>
        </w:rPr>
        <w:t>1</w:t>
      </w:r>
      <w:r w:rsidR="005D109B">
        <w:rPr>
          <w:rFonts w:ascii="Arial" w:eastAsia="Calibri" w:hAnsi="Arial" w:cs="Arial"/>
          <w:spacing w:val="-1"/>
          <w:sz w:val="17"/>
          <w:szCs w:val="17"/>
        </w:rPr>
        <w:t xml:space="preserve"> de </w:t>
      </w:r>
      <w:r w:rsidR="00316A2A">
        <w:rPr>
          <w:rFonts w:ascii="Arial" w:eastAsia="Calibri" w:hAnsi="Arial" w:cs="Arial"/>
          <w:spacing w:val="-1"/>
          <w:sz w:val="17"/>
          <w:szCs w:val="17"/>
        </w:rPr>
        <w:t>diciembre</w:t>
      </w:r>
      <w:r w:rsidR="005D109B">
        <w:rPr>
          <w:rFonts w:ascii="Arial" w:eastAsia="Calibri" w:hAnsi="Arial" w:cs="Arial"/>
          <w:spacing w:val="-1"/>
          <w:sz w:val="17"/>
          <w:szCs w:val="17"/>
        </w:rPr>
        <w:t xml:space="preserve"> del </w:t>
      </w:r>
      <w:r w:rsidR="00AE626F">
        <w:rPr>
          <w:rFonts w:ascii="Arial" w:eastAsia="Calibri" w:hAnsi="Arial" w:cs="Arial"/>
          <w:spacing w:val="-1"/>
          <w:sz w:val="17"/>
          <w:szCs w:val="17"/>
        </w:rPr>
        <w:t>2020</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teniendo presente los postulados de revelación suficiente e importancia relativa con la finalidad de que la información sea de mayor utilidad para los usuarios. Los tres tipos de notas que acompañan a los estados financieros, son:</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a) </w:t>
      </w:r>
      <w:r w:rsidR="006335BE" w:rsidRPr="002D70DA">
        <w:rPr>
          <w:rFonts w:ascii="Arial" w:eastAsia="Calibri" w:hAnsi="Arial" w:cs="Arial"/>
          <w:spacing w:val="-1"/>
          <w:sz w:val="17"/>
          <w:szCs w:val="17"/>
        </w:rPr>
        <w:t>Notas de Desglose</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b) </w:t>
      </w:r>
      <w:r w:rsidR="006335BE" w:rsidRPr="002D70DA">
        <w:rPr>
          <w:rFonts w:ascii="Arial" w:eastAsia="Calibri" w:hAnsi="Arial" w:cs="Arial"/>
          <w:spacing w:val="-1"/>
          <w:sz w:val="17"/>
          <w:szCs w:val="17"/>
        </w:rPr>
        <w:t>Notas de Memoria</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c) </w:t>
      </w:r>
      <w:r w:rsidR="006335BE" w:rsidRPr="002D70DA">
        <w:rPr>
          <w:rFonts w:ascii="Arial" w:eastAsia="Calibri" w:hAnsi="Arial" w:cs="Arial"/>
          <w:spacing w:val="-1"/>
          <w:sz w:val="17"/>
          <w:szCs w:val="17"/>
        </w:rPr>
        <w:t>Notas de Gestión Administrativa</w:t>
      </w:r>
    </w:p>
    <w:p w:rsidR="006335BE" w:rsidRPr="002D70DA" w:rsidRDefault="006335BE" w:rsidP="00795E45">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de Desglose:</w:t>
      </w:r>
    </w:p>
    <w:p w:rsidR="006335BE" w:rsidRPr="002D70DA" w:rsidRDefault="006335B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Situación Financiera</w:t>
      </w:r>
    </w:p>
    <w:p w:rsidR="006335BE" w:rsidRPr="002D70DA" w:rsidRDefault="006335BE" w:rsidP="006335BE">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Activo</w:t>
      </w: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Efectivo y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p>
    <w:p w:rsidR="009D4479" w:rsidRDefault="001B59FD"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En este apartado se informa </w:t>
      </w:r>
      <w:r w:rsidR="009D4479">
        <w:rPr>
          <w:rFonts w:ascii="Arial" w:eastAsia="Calibri" w:hAnsi="Arial" w:cs="Arial"/>
          <w:spacing w:val="-1"/>
          <w:sz w:val="17"/>
          <w:szCs w:val="17"/>
        </w:rPr>
        <w:t>la integración del rubro efectivo y equivalentes en pos</w:t>
      </w:r>
      <w:r w:rsidR="00181A8D">
        <w:rPr>
          <w:rFonts w:ascii="Arial" w:eastAsia="Calibri" w:hAnsi="Arial" w:cs="Arial"/>
          <w:spacing w:val="-1"/>
          <w:sz w:val="17"/>
          <w:szCs w:val="17"/>
        </w:rPr>
        <w:t>es</w:t>
      </w:r>
      <w:r w:rsidR="009D4479">
        <w:rPr>
          <w:rFonts w:ascii="Arial" w:eastAsia="Calibri" w:hAnsi="Arial" w:cs="Arial"/>
          <w:spacing w:val="-1"/>
          <w:sz w:val="17"/>
          <w:szCs w:val="17"/>
        </w:rPr>
        <w:t>ión de</w:t>
      </w:r>
      <w:r w:rsidR="0062320E">
        <w:rPr>
          <w:rFonts w:ascii="Arial" w:eastAsia="Calibri" w:hAnsi="Arial" w:cs="Arial"/>
          <w:spacing w:val="-1"/>
          <w:sz w:val="17"/>
          <w:szCs w:val="17"/>
        </w:rPr>
        <w:t xml:space="preserve"> </w:t>
      </w:r>
      <w:r w:rsidR="009D4479">
        <w:rPr>
          <w:rFonts w:ascii="Arial" w:eastAsia="Calibri" w:hAnsi="Arial" w:cs="Arial"/>
          <w:spacing w:val="-1"/>
          <w:sz w:val="17"/>
          <w:szCs w:val="17"/>
        </w:rPr>
        <w:t>l</w:t>
      </w:r>
      <w:r w:rsidR="006A0D1F">
        <w:rPr>
          <w:rFonts w:ascii="Arial" w:eastAsia="Calibri" w:hAnsi="Arial" w:cs="Arial"/>
          <w:spacing w:val="-1"/>
          <w:sz w:val="17"/>
          <w:szCs w:val="17"/>
        </w:rPr>
        <w:t>o</w:t>
      </w:r>
      <w:r w:rsidR="0062320E">
        <w:rPr>
          <w:rFonts w:ascii="Arial" w:eastAsia="Calibri" w:hAnsi="Arial" w:cs="Arial"/>
          <w:spacing w:val="-1"/>
          <w:sz w:val="17"/>
          <w:szCs w:val="17"/>
        </w:rPr>
        <w:t>s</w:t>
      </w:r>
      <w:r w:rsidR="004A4F89">
        <w:rPr>
          <w:rFonts w:ascii="Arial" w:eastAsia="Calibri" w:hAnsi="Arial" w:cs="Arial"/>
          <w:spacing w:val="-1"/>
          <w:sz w:val="17"/>
          <w:szCs w:val="17"/>
        </w:rPr>
        <w:t xml:space="preserve"> </w:t>
      </w:r>
      <w:r w:rsidR="006A0D1F">
        <w:rPr>
          <w:rFonts w:ascii="Arial" w:eastAsia="Calibri" w:hAnsi="Arial" w:cs="Arial"/>
          <w:spacing w:val="-1"/>
          <w:sz w:val="17"/>
          <w:szCs w:val="17"/>
        </w:rPr>
        <w:t>Fideicomisos Empresariales No Financieros con Participación Estatal Mayoritaria</w:t>
      </w:r>
      <w:r w:rsidR="009D4479">
        <w:rPr>
          <w:rFonts w:ascii="Arial" w:eastAsia="Calibri" w:hAnsi="Arial" w:cs="Arial"/>
          <w:spacing w:val="-1"/>
          <w:sz w:val="17"/>
          <w:szCs w:val="17"/>
        </w:rPr>
        <w:t>:</w:t>
      </w:r>
    </w:p>
    <w:p w:rsidR="009D4479" w:rsidRPr="002D70DA" w:rsidRDefault="009D4479" w:rsidP="009D447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D4479" w:rsidRPr="002D70DA" w:rsidTr="00AE62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D4479" w:rsidRPr="002D70DA" w:rsidRDefault="009D4479"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AE626F"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AE626F"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AE626F" w:rsidRPr="002D70DA" w:rsidTr="00AE62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E626F" w:rsidRPr="009831D5" w:rsidRDefault="00AE626F" w:rsidP="00AE626F">
            <w:pPr>
              <w:rPr>
                <w:rFonts w:ascii="Arial" w:hAnsi="Arial" w:cs="Arial"/>
                <w:sz w:val="17"/>
                <w:szCs w:val="17"/>
              </w:rPr>
            </w:pPr>
            <w:r w:rsidRPr="009831D5">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rsidR="00AE626F" w:rsidRPr="003B6273" w:rsidRDefault="00AE626F" w:rsidP="00AE626F">
            <w:pPr>
              <w:jc w:val="right"/>
              <w:rPr>
                <w:rFonts w:ascii="Arial" w:hAnsi="Arial" w:cs="Arial"/>
                <w:sz w:val="17"/>
                <w:szCs w:val="17"/>
              </w:rPr>
            </w:pPr>
            <w:r w:rsidRPr="003B6273">
              <w:rPr>
                <w:rFonts w:ascii="Arial" w:hAnsi="Arial" w:cs="Arial"/>
                <w:sz w:val="17"/>
                <w:szCs w:val="17"/>
              </w:rPr>
              <w:t xml:space="preserve"> 10,000 </w:t>
            </w:r>
          </w:p>
        </w:tc>
        <w:tc>
          <w:tcPr>
            <w:tcW w:w="2180" w:type="dxa"/>
            <w:tcBorders>
              <w:top w:val="single" w:sz="4" w:space="0" w:color="auto"/>
              <w:left w:val="nil"/>
              <w:bottom w:val="single" w:sz="4" w:space="0" w:color="auto"/>
              <w:right w:val="single" w:sz="4" w:space="0" w:color="auto"/>
            </w:tcBorders>
            <w:shd w:val="clear" w:color="auto" w:fill="auto"/>
          </w:tcPr>
          <w:p w:rsidR="00AE626F" w:rsidRPr="00AE626F" w:rsidRDefault="00AE626F" w:rsidP="00AE626F">
            <w:pPr>
              <w:jc w:val="right"/>
              <w:rPr>
                <w:rFonts w:ascii="Arial" w:hAnsi="Arial" w:cs="Arial"/>
                <w:sz w:val="17"/>
                <w:szCs w:val="17"/>
              </w:rPr>
            </w:pPr>
            <w:r w:rsidRPr="00AE626F">
              <w:rPr>
                <w:rFonts w:ascii="Arial" w:hAnsi="Arial" w:cs="Arial"/>
                <w:sz w:val="17"/>
                <w:szCs w:val="17"/>
              </w:rPr>
              <w:t xml:space="preserve"> 10,000 </w:t>
            </w:r>
          </w:p>
        </w:tc>
      </w:tr>
      <w:tr w:rsidR="00AE626F" w:rsidRPr="002D70DA" w:rsidTr="00AE62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E626F" w:rsidRPr="009831D5" w:rsidRDefault="00AE626F" w:rsidP="00AE626F">
            <w:pPr>
              <w:rPr>
                <w:rFonts w:ascii="Arial" w:hAnsi="Arial" w:cs="Arial"/>
                <w:sz w:val="17"/>
                <w:szCs w:val="17"/>
              </w:rPr>
            </w:pPr>
            <w:r w:rsidRPr="009831D5">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rsidR="00AE626F" w:rsidRPr="003B6273" w:rsidRDefault="00AE626F" w:rsidP="00AE626F">
            <w:pPr>
              <w:jc w:val="right"/>
              <w:rPr>
                <w:rFonts w:ascii="Arial" w:hAnsi="Arial" w:cs="Arial"/>
                <w:sz w:val="17"/>
                <w:szCs w:val="17"/>
              </w:rPr>
            </w:pPr>
            <w:r w:rsidRPr="00AE626F">
              <w:rPr>
                <w:rFonts w:ascii="Arial" w:hAnsi="Arial" w:cs="Arial"/>
                <w:sz w:val="17"/>
                <w:szCs w:val="17"/>
              </w:rPr>
              <w:t>-15,352,078</w:t>
            </w:r>
          </w:p>
        </w:tc>
        <w:tc>
          <w:tcPr>
            <w:tcW w:w="2180" w:type="dxa"/>
            <w:tcBorders>
              <w:top w:val="single" w:sz="4" w:space="0" w:color="auto"/>
              <w:left w:val="nil"/>
              <w:bottom w:val="single" w:sz="4" w:space="0" w:color="auto"/>
              <w:right w:val="single" w:sz="4" w:space="0" w:color="auto"/>
            </w:tcBorders>
            <w:shd w:val="clear" w:color="auto" w:fill="auto"/>
          </w:tcPr>
          <w:p w:rsidR="00AE626F" w:rsidRPr="00AE626F" w:rsidRDefault="00AE626F" w:rsidP="00AE626F">
            <w:pPr>
              <w:jc w:val="right"/>
              <w:rPr>
                <w:rFonts w:ascii="Arial" w:hAnsi="Arial" w:cs="Arial"/>
                <w:sz w:val="17"/>
                <w:szCs w:val="17"/>
              </w:rPr>
            </w:pPr>
            <w:r w:rsidRPr="00AE626F">
              <w:rPr>
                <w:rFonts w:ascii="Arial" w:hAnsi="Arial" w:cs="Arial"/>
                <w:sz w:val="17"/>
                <w:szCs w:val="17"/>
              </w:rPr>
              <w:t xml:space="preserve"> 1,655,734 </w:t>
            </w:r>
          </w:p>
        </w:tc>
      </w:tr>
      <w:tr w:rsidR="00AE626F" w:rsidRPr="002D70DA" w:rsidTr="00AE62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E626F" w:rsidRPr="009831D5" w:rsidRDefault="00AE626F" w:rsidP="00AE626F">
            <w:pPr>
              <w:rPr>
                <w:rFonts w:ascii="Arial" w:hAnsi="Arial" w:cs="Arial"/>
                <w:sz w:val="17"/>
                <w:szCs w:val="17"/>
              </w:rPr>
            </w:pPr>
            <w:r w:rsidRPr="009831D5">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rsidR="00AE626F" w:rsidRPr="003B6273" w:rsidRDefault="00AE626F" w:rsidP="00AE626F">
            <w:pPr>
              <w:jc w:val="right"/>
              <w:rPr>
                <w:rFonts w:ascii="Arial" w:hAnsi="Arial" w:cs="Arial"/>
                <w:sz w:val="17"/>
                <w:szCs w:val="17"/>
              </w:rPr>
            </w:pPr>
            <w:r w:rsidRPr="00AE626F">
              <w:rPr>
                <w:rFonts w:ascii="Arial" w:hAnsi="Arial" w:cs="Arial"/>
                <w:sz w:val="17"/>
                <w:szCs w:val="17"/>
              </w:rPr>
              <w:t>16,377,825</w:t>
            </w:r>
          </w:p>
        </w:tc>
        <w:tc>
          <w:tcPr>
            <w:tcW w:w="2180" w:type="dxa"/>
            <w:tcBorders>
              <w:top w:val="single" w:sz="4" w:space="0" w:color="auto"/>
              <w:left w:val="nil"/>
              <w:bottom w:val="single" w:sz="4" w:space="0" w:color="auto"/>
              <w:right w:val="single" w:sz="4" w:space="0" w:color="auto"/>
            </w:tcBorders>
            <w:shd w:val="clear" w:color="auto" w:fill="auto"/>
          </w:tcPr>
          <w:p w:rsidR="00AE626F" w:rsidRPr="00AE626F" w:rsidRDefault="00AE626F" w:rsidP="00AE626F">
            <w:pPr>
              <w:jc w:val="right"/>
              <w:rPr>
                <w:rFonts w:ascii="Arial" w:hAnsi="Arial" w:cs="Arial"/>
                <w:sz w:val="17"/>
                <w:szCs w:val="17"/>
              </w:rPr>
            </w:pPr>
            <w:r w:rsidRPr="00AE626F">
              <w:rPr>
                <w:rFonts w:ascii="Arial" w:hAnsi="Arial" w:cs="Arial"/>
                <w:sz w:val="17"/>
                <w:szCs w:val="17"/>
              </w:rPr>
              <w:t xml:space="preserve"> 18,209,979 </w:t>
            </w:r>
          </w:p>
        </w:tc>
      </w:tr>
      <w:tr w:rsidR="00AE626F" w:rsidRPr="002D70DA" w:rsidTr="00AE626F">
        <w:trPr>
          <w:trHeight w:val="240"/>
          <w:jc w:val="center"/>
        </w:trPr>
        <w:tc>
          <w:tcPr>
            <w:tcW w:w="4900" w:type="dxa"/>
            <w:tcBorders>
              <w:top w:val="nil"/>
              <w:left w:val="nil"/>
              <w:bottom w:val="nil"/>
              <w:right w:val="single" w:sz="4" w:space="0" w:color="auto"/>
            </w:tcBorders>
            <w:shd w:val="clear" w:color="000000" w:fill="FFFFFF"/>
            <w:vAlign w:val="center"/>
            <w:hideMark/>
          </w:tcPr>
          <w:p w:rsidR="00AE626F" w:rsidRPr="002D70DA" w:rsidRDefault="00AE626F" w:rsidP="00AE626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E626F" w:rsidRPr="00AE626F" w:rsidRDefault="00AE626F" w:rsidP="00AE626F">
            <w:pPr>
              <w:jc w:val="right"/>
              <w:rPr>
                <w:rFonts w:ascii="Arial" w:hAnsi="Arial" w:cs="Arial"/>
                <w:b/>
                <w:sz w:val="17"/>
                <w:szCs w:val="17"/>
              </w:rPr>
            </w:pPr>
            <w:r w:rsidRPr="00AE626F">
              <w:rPr>
                <w:rFonts w:ascii="Arial" w:hAnsi="Arial" w:cs="Arial"/>
                <w:b/>
                <w:sz w:val="17"/>
                <w:szCs w:val="17"/>
              </w:rPr>
              <w:t>1,035,746</w:t>
            </w:r>
          </w:p>
        </w:tc>
        <w:tc>
          <w:tcPr>
            <w:tcW w:w="2180" w:type="dxa"/>
            <w:tcBorders>
              <w:top w:val="nil"/>
              <w:left w:val="single" w:sz="4" w:space="0" w:color="auto"/>
              <w:bottom w:val="single" w:sz="4" w:space="0" w:color="auto"/>
              <w:right w:val="single" w:sz="4" w:space="0" w:color="auto"/>
            </w:tcBorders>
            <w:shd w:val="clear" w:color="000000" w:fill="FFFFFF"/>
          </w:tcPr>
          <w:p w:rsidR="00AE626F" w:rsidRPr="00AE626F" w:rsidRDefault="00AE626F" w:rsidP="00AE626F">
            <w:pPr>
              <w:jc w:val="right"/>
              <w:rPr>
                <w:rFonts w:ascii="Arial" w:hAnsi="Arial" w:cs="Arial"/>
                <w:b/>
                <w:sz w:val="17"/>
                <w:szCs w:val="17"/>
              </w:rPr>
            </w:pPr>
            <w:r w:rsidRPr="00AE626F">
              <w:rPr>
                <w:rFonts w:ascii="Arial" w:hAnsi="Arial" w:cs="Arial"/>
                <w:b/>
                <w:sz w:val="17"/>
                <w:szCs w:val="17"/>
              </w:rPr>
              <w:t xml:space="preserve"> 19,875,713 </w:t>
            </w:r>
          </w:p>
        </w:tc>
      </w:tr>
    </w:tbl>
    <w:p w:rsidR="006C5E04" w:rsidRDefault="009831D5"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Se presenta un </w:t>
      </w:r>
      <w:r w:rsidR="00C240A2">
        <w:rPr>
          <w:rFonts w:ascii="Arial" w:eastAsia="Calibri" w:hAnsi="Arial" w:cs="Arial"/>
          <w:spacing w:val="-1"/>
          <w:sz w:val="17"/>
          <w:szCs w:val="17"/>
        </w:rPr>
        <w:t>de</w:t>
      </w:r>
      <w:r>
        <w:rPr>
          <w:rFonts w:ascii="Arial" w:eastAsia="Calibri" w:hAnsi="Arial" w:cs="Arial"/>
          <w:spacing w:val="-1"/>
          <w:sz w:val="17"/>
          <w:szCs w:val="17"/>
        </w:rPr>
        <w:t xml:space="preserve">cremento </w:t>
      </w:r>
      <w:r w:rsidR="000F7647" w:rsidRPr="000F7647">
        <w:rPr>
          <w:rFonts w:ascii="Arial" w:eastAsia="Calibri" w:hAnsi="Arial" w:cs="Arial"/>
          <w:spacing w:val="-1"/>
          <w:sz w:val="17"/>
          <w:szCs w:val="17"/>
        </w:rPr>
        <w:t>en el rubro de efectivo y equivalentes derivado principalmente en</w:t>
      </w:r>
      <w:r w:rsidR="00C240A2">
        <w:rPr>
          <w:rFonts w:ascii="Arial" w:eastAsia="Calibri" w:hAnsi="Arial" w:cs="Arial"/>
          <w:spacing w:val="-1"/>
          <w:sz w:val="17"/>
          <w:szCs w:val="17"/>
        </w:rPr>
        <w:t xml:space="preserve"> la</w:t>
      </w:r>
      <w:r w:rsidR="000F7647" w:rsidRPr="000F7647">
        <w:rPr>
          <w:rFonts w:ascii="Arial" w:eastAsia="Calibri" w:hAnsi="Arial" w:cs="Arial"/>
          <w:spacing w:val="-1"/>
          <w:sz w:val="17"/>
          <w:szCs w:val="17"/>
        </w:rPr>
        <w:t xml:space="preserve"> </w:t>
      </w:r>
      <w:r w:rsidR="00C240A2">
        <w:rPr>
          <w:rFonts w:ascii="Arial" w:eastAsia="Calibri" w:hAnsi="Arial" w:cs="Arial"/>
          <w:spacing w:val="-1"/>
          <w:sz w:val="17"/>
          <w:szCs w:val="17"/>
        </w:rPr>
        <w:t>disminución</w:t>
      </w:r>
      <w:r w:rsidR="000F7647" w:rsidRPr="000F7647">
        <w:rPr>
          <w:rFonts w:ascii="Arial" w:eastAsia="Calibri" w:hAnsi="Arial" w:cs="Arial"/>
          <w:spacing w:val="-1"/>
          <w:sz w:val="17"/>
          <w:szCs w:val="17"/>
        </w:rPr>
        <w:t xml:space="preserve"> en el rubro de </w:t>
      </w:r>
      <w:r w:rsidR="00AE626F" w:rsidRPr="00AE626F">
        <w:rPr>
          <w:rFonts w:ascii="Arial" w:eastAsia="Calibri" w:hAnsi="Arial" w:cs="Arial"/>
          <w:spacing w:val="-1"/>
          <w:sz w:val="17"/>
          <w:szCs w:val="17"/>
        </w:rPr>
        <w:t>Bancos/Tesorería</w:t>
      </w:r>
      <w:r w:rsidR="00E505C6">
        <w:rPr>
          <w:rFonts w:ascii="Arial" w:eastAsia="Calibri" w:hAnsi="Arial" w:cs="Arial"/>
          <w:spacing w:val="-1"/>
          <w:sz w:val="17"/>
          <w:szCs w:val="17"/>
        </w:rPr>
        <w:t xml:space="preserve"> por parte del</w:t>
      </w:r>
      <w:r w:rsidR="003B6273">
        <w:rPr>
          <w:rFonts w:ascii="Arial" w:eastAsia="Calibri" w:hAnsi="Arial" w:cs="Arial"/>
          <w:spacing w:val="-1"/>
          <w:sz w:val="17"/>
          <w:szCs w:val="17"/>
        </w:rPr>
        <w:t xml:space="preserve"> </w:t>
      </w:r>
      <w:r w:rsidR="00AE626F" w:rsidRPr="00AE626F">
        <w:rPr>
          <w:rFonts w:ascii="Arial" w:eastAsia="Calibri" w:hAnsi="Arial" w:cs="Arial"/>
          <w:spacing w:val="-1"/>
          <w:sz w:val="17"/>
          <w:szCs w:val="17"/>
        </w:rPr>
        <w:t>Fideicomiso Promotor de Proyectos Económicos y Bienestar Social</w:t>
      </w:r>
      <w:r w:rsidR="000F7647" w:rsidRPr="000F7647">
        <w:rPr>
          <w:rFonts w:ascii="Arial" w:eastAsia="Calibri" w:hAnsi="Arial" w:cs="Arial"/>
          <w:spacing w:val="-1"/>
          <w:sz w:val="17"/>
          <w:szCs w:val="17"/>
        </w:rPr>
        <w:t>.</w:t>
      </w:r>
    </w:p>
    <w:p w:rsidR="006C5E04" w:rsidRDefault="006C5E04">
      <w:pPr>
        <w:rPr>
          <w:rFonts w:ascii="Arial" w:eastAsia="Calibri" w:hAnsi="Arial" w:cs="Arial"/>
          <w:spacing w:val="-1"/>
          <w:sz w:val="17"/>
          <w:szCs w:val="17"/>
        </w:rPr>
      </w:pPr>
      <w:r>
        <w:rPr>
          <w:rFonts w:ascii="Arial" w:eastAsia="Calibri" w:hAnsi="Arial" w:cs="Arial"/>
          <w:spacing w:val="-1"/>
          <w:sz w:val="17"/>
          <w:szCs w:val="17"/>
        </w:rPr>
        <w:br w:type="page"/>
      </w:r>
    </w:p>
    <w:p w:rsidR="00180288" w:rsidRDefault="006C5E04"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C5E04" w:rsidRPr="002D70DA" w:rsidRDefault="006C5E04" w:rsidP="006C5E0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C5E04" w:rsidRPr="002D70DA" w:rsidTr="0051264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5E04" w:rsidRPr="002D70DA" w:rsidRDefault="006C5E04" w:rsidP="002A78B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AE626F" w:rsidP="002A78B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AE626F" w:rsidP="002A78B5">
            <w:pPr>
              <w:jc w:val="center"/>
              <w:rPr>
                <w:rFonts w:ascii="Arial" w:hAnsi="Arial" w:cs="Arial"/>
                <w:b/>
                <w:bCs/>
                <w:color w:val="000000"/>
                <w:sz w:val="17"/>
                <w:szCs w:val="17"/>
              </w:rPr>
            </w:pPr>
            <w:r>
              <w:rPr>
                <w:rFonts w:ascii="Arial" w:hAnsi="Arial" w:cs="Arial"/>
                <w:b/>
                <w:bCs/>
                <w:color w:val="000000"/>
                <w:sz w:val="17"/>
                <w:szCs w:val="17"/>
              </w:rPr>
              <w:t>2019</w:t>
            </w:r>
          </w:p>
        </w:tc>
      </w:tr>
      <w:tr w:rsidR="00512645" w:rsidRPr="002D70DA" w:rsidTr="0051264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12645" w:rsidRPr="00FE4474" w:rsidRDefault="00512645" w:rsidP="00512645">
            <w:pPr>
              <w:rPr>
                <w:rFonts w:ascii="Arial" w:hAnsi="Arial" w:cs="Arial"/>
                <w:sz w:val="17"/>
                <w:szCs w:val="17"/>
              </w:rPr>
            </w:pPr>
            <w:r w:rsidRPr="00FE4474">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512645" w:rsidRPr="00512645" w:rsidRDefault="00512645" w:rsidP="00512645">
            <w:pPr>
              <w:jc w:val="right"/>
              <w:rPr>
                <w:rFonts w:ascii="Arial" w:hAnsi="Arial" w:cs="Arial"/>
                <w:sz w:val="17"/>
                <w:szCs w:val="17"/>
              </w:rPr>
            </w:pPr>
            <w:r w:rsidRPr="00512645">
              <w:rPr>
                <w:rFonts w:ascii="Arial" w:hAnsi="Arial" w:cs="Arial"/>
                <w:sz w:val="17"/>
                <w:szCs w:val="17"/>
              </w:rPr>
              <w:t xml:space="preserve">-16,736,049 </w:t>
            </w:r>
          </w:p>
        </w:tc>
        <w:tc>
          <w:tcPr>
            <w:tcW w:w="2180" w:type="dxa"/>
            <w:tcBorders>
              <w:top w:val="single" w:sz="4" w:space="0" w:color="auto"/>
              <w:left w:val="nil"/>
              <w:bottom w:val="single" w:sz="4" w:space="0" w:color="auto"/>
              <w:right w:val="single" w:sz="4" w:space="0" w:color="auto"/>
            </w:tcBorders>
            <w:shd w:val="clear" w:color="auto" w:fill="auto"/>
          </w:tcPr>
          <w:p w:rsidR="00512645" w:rsidRPr="00512645" w:rsidRDefault="00512645" w:rsidP="00512645">
            <w:pPr>
              <w:jc w:val="right"/>
              <w:rPr>
                <w:rFonts w:ascii="Arial" w:hAnsi="Arial" w:cs="Arial"/>
                <w:sz w:val="17"/>
                <w:szCs w:val="17"/>
              </w:rPr>
            </w:pPr>
            <w:r w:rsidRPr="00512645">
              <w:rPr>
                <w:rFonts w:ascii="Arial" w:hAnsi="Arial" w:cs="Arial"/>
                <w:sz w:val="17"/>
                <w:szCs w:val="17"/>
              </w:rPr>
              <w:t xml:space="preserve">294,570 </w:t>
            </w:r>
          </w:p>
        </w:tc>
      </w:tr>
      <w:tr w:rsidR="00512645" w:rsidRPr="002D70DA" w:rsidTr="0051264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12645" w:rsidRPr="00FE4474" w:rsidRDefault="00512645" w:rsidP="00512645">
            <w:pPr>
              <w:rPr>
                <w:rFonts w:ascii="Arial" w:hAnsi="Arial" w:cs="Arial"/>
                <w:sz w:val="17"/>
                <w:szCs w:val="17"/>
              </w:rPr>
            </w:pPr>
            <w:r w:rsidRPr="00FE4474">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512645" w:rsidRPr="00512645" w:rsidRDefault="00512645" w:rsidP="00512645">
            <w:pPr>
              <w:jc w:val="right"/>
              <w:rPr>
                <w:rFonts w:ascii="Arial" w:hAnsi="Arial" w:cs="Arial"/>
                <w:sz w:val="17"/>
                <w:szCs w:val="17"/>
              </w:rPr>
            </w:pPr>
            <w:r w:rsidRPr="00512645">
              <w:rPr>
                <w:rFonts w:ascii="Arial" w:hAnsi="Arial" w:cs="Arial"/>
                <w:sz w:val="17"/>
                <w:szCs w:val="17"/>
              </w:rPr>
              <w:t xml:space="preserve">17,771,795 </w:t>
            </w:r>
          </w:p>
        </w:tc>
        <w:tc>
          <w:tcPr>
            <w:tcW w:w="2180" w:type="dxa"/>
            <w:tcBorders>
              <w:top w:val="single" w:sz="4" w:space="0" w:color="auto"/>
              <w:left w:val="nil"/>
              <w:bottom w:val="single" w:sz="4" w:space="0" w:color="auto"/>
              <w:right w:val="single" w:sz="4" w:space="0" w:color="auto"/>
            </w:tcBorders>
            <w:shd w:val="clear" w:color="auto" w:fill="auto"/>
          </w:tcPr>
          <w:p w:rsidR="00512645" w:rsidRPr="00512645" w:rsidRDefault="00512645" w:rsidP="00512645">
            <w:pPr>
              <w:jc w:val="right"/>
              <w:rPr>
                <w:rFonts w:ascii="Arial" w:hAnsi="Arial" w:cs="Arial"/>
                <w:sz w:val="17"/>
                <w:szCs w:val="17"/>
              </w:rPr>
            </w:pPr>
            <w:r w:rsidRPr="00512645">
              <w:rPr>
                <w:rFonts w:ascii="Arial" w:hAnsi="Arial" w:cs="Arial"/>
                <w:sz w:val="17"/>
                <w:szCs w:val="17"/>
              </w:rPr>
              <w:t xml:space="preserve">19,581,143 </w:t>
            </w:r>
          </w:p>
        </w:tc>
      </w:tr>
      <w:tr w:rsidR="00512645" w:rsidRPr="002D70DA" w:rsidTr="00512645">
        <w:trPr>
          <w:trHeight w:val="240"/>
          <w:jc w:val="center"/>
        </w:trPr>
        <w:tc>
          <w:tcPr>
            <w:tcW w:w="4900" w:type="dxa"/>
            <w:tcBorders>
              <w:top w:val="nil"/>
              <w:left w:val="nil"/>
              <w:bottom w:val="nil"/>
              <w:right w:val="single" w:sz="4" w:space="0" w:color="auto"/>
            </w:tcBorders>
            <w:shd w:val="clear" w:color="000000" w:fill="FFFFFF"/>
            <w:vAlign w:val="center"/>
            <w:hideMark/>
          </w:tcPr>
          <w:p w:rsidR="00512645" w:rsidRPr="002D70DA" w:rsidRDefault="00512645" w:rsidP="00512645">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512645" w:rsidRPr="00512645" w:rsidRDefault="00512645" w:rsidP="00512645">
            <w:pPr>
              <w:jc w:val="right"/>
              <w:rPr>
                <w:rFonts w:ascii="Arial" w:hAnsi="Arial" w:cs="Arial"/>
                <w:b/>
                <w:sz w:val="17"/>
                <w:szCs w:val="17"/>
              </w:rPr>
            </w:pPr>
            <w:r w:rsidRPr="00512645">
              <w:rPr>
                <w:rFonts w:ascii="Arial" w:hAnsi="Arial" w:cs="Arial"/>
                <w:b/>
                <w:sz w:val="17"/>
                <w:szCs w:val="17"/>
              </w:rPr>
              <w:t>1,035,746</w:t>
            </w:r>
          </w:p>
        </w:tc>
        <w:tc>
          <w:tcPr>
            <w:tcW w:w="2180" w:type="dxa"/>
            <w:tcBorders>
              <w:top w:val="nil"/>
              <w:left w:val="single" w:sz="4" w:space="0" w:color="auto"/>
              <w:bottom w:val="single" w:sz="4" w:space="0" w:color="auto"/>
              <w:right w:val="single" w:sz="4" w:space="0" w:color="auto"/>
            </w:tcBorders>
            <w:shd w:val="clear" w:color="000000" w:fill="FFFFFF"/>
          </w:tcPr>
          <w:p w:rsidR="00512645" w:rsidRPr="00512645" w:rsidRDefault="00512645" w:rsidP="00512645">
            <w:pPr>
              <w:jc w:val="right"/>
              <w:rPr>
                <w:rFonts w:ascii="Arial" w:hAnsi="Arial" w:cs="Arial"/>
                <w:b/>
                <w:sz w:val="17"/>
                <w:szCs w:val="17"/>
              </w:rPr>
            </w:pPr>
            <w:r w:rsidRPr="00512645">
              <w:rPr>
                <w:rFonts w:ascii="Arial" w:hAnsi="Arial" w:cs="Arial"/>
                <w:b/>
                <w:sz w:val="17"/>
                <w:szCs w:val="17"/>
              </w:rPr>
              <w:t xml:space="preserve">19,875,713 </w:t>
            </w:r>
          </w:p>
        </w:tc>
      </w:tr>
    </w:tbl>
    <w:p w:rsidR="007802CD" w:rsidRDefault="007802CD">
      <w:pPr>
        <w:rPr>
          <w:rFonts w:ascii="Arial" w:eastAsia="Calibri" w:hAnsi="Arial" w:cs="Arial"/>
          <w:b/>
          <w:spacing w:val="-1"/>
          <w:sz w:val="17"/>
          <w:szCs w:val="17"/>
        </w:rPr>
      </w:pPr>
    </w:p>
    <w:p w:rsidR="00362B5E" w:rsidRDefault="00362B5E">
      <w:pPr>
        <w:rPr>
          <w:rFonts w:ascii="Arial" w:eastAsia="Calibri" w:hAnsi="Arial" w:cs="Arial"/>
          <w:b/>
          <w:spacing w:val="-1"/>
          <w:sz w:val="17"/>
          <w:szCs w:val="17"/>
        </w:rPr>
      </w:pP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Derechos a recibir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 xml:space="preserve">fectivo o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r w:rsidR="00756556" w:rsidRPr="002D70DA">
        <w:rPr>
          <w:rFonts w:ascii="Arial" w:eastAsia="Calibri" w:hAnsi="Arial" w:cs="Arial"/>
          <w:b/>
          <w:spacing w:val="-1"/>
          <w:sz w:val="17"/>
          <w:szCs w:val="17"/>
        </w:rPr>
        <w:t xml:space="preserve"> y </w:t>
      </w:r>
      <w:r w:rsidR="00CE4092" w:rsidRPr="002D70DA">
        <w:rPr>
          <w:rFonts w:ascii="Arial" w:eastAsia="Calibri" w:hAnsi="Arial" w:cs="Arial"/>
          <w:b/>
          <w:spacing w:val="-1"/>
          <w:sz w:val="17"/>
          <w:szCs w:val="17"/>
        </w:rPr>
        <w:t>b</w:t>
      </w:r>
      <w:r w:rsidR="00756556" w:rsidRPr="002D70DA">
        <w:rPr>
          <w:rFonts w:ascii="Arial" w:eastAsia="Calibri" w:hAnsi="Arial" w:cs="Arial"/>
          <w:b/>
          <w:spacing w:val="-1"/>
          <w:sz w:val="17"/>
          <w:szCs w:val="17"/>
        </w:rPr>
        <w:t xml:space="preserve">ienes o </w:t>
      </w:r>
      <w:r w:rsidR="00CE4092" w:rsidRPr="002D70DA">
        <w:rPr>
          <w:rFonts w:ascii="Arial" w:eastAsia="Calibri" w:hAnsi="Arial" w:cs="Arial"/>
          <w:b/>
          <w:spacing w:val="-1"/>
          <w:sz w:val="17"/>
          <w:szCs w:val="17"/>
        </w:rPr>
        <w:t>s</w:t>
      </w:r>
      <w:r w:rsidR="00756556" w:rsidRPr="002D70DA">
        <w:rPr>
          <w:rFonts w:ascii="Arial" w:eastAsia="Calibri" w:hAnsi="Arial" w:cs="Arial"/>
          <w:b/>
          <w:spacing w:val="-1"/>
          <w:sz w:val="17"/>
          <w:szCs w:val="17"/>
        </w:rPr>
        <w:t xml:space="preserve">ervicios a </w:t>
      </w:r>
      <w:r w:rsidR="00CE4092" w:rsidRPr="002D70DA">
        <w:rPr>
          <w:rFonts w:ascii="Arial" w:eastAsia="Calibri" w:hAnsi="Arial" w:cs="Arial"/>
          <w:b/>
          <w:spacing w:val="-1"/>
          <w:sz w:val="17"/>
          <w:szCs w:val="17"/>
        </w:rPr>
        <w:t>r</w:t>
      </w:r>
      <w:r w:rsidR="00756556" w:rsidRPr="002D70DA">
        <w:rPr>
          <w:rFonts w:ascii="Arial" w:eastAsia="Calibri" w:hAnsi="Arial" w:cs="Arial"/>
          <w:b/>
          <w:spacing w:val="-1"/>
          <w:sz w:val="17"/>
          <w:szCs w:val="17"/>
        </w:rPr>
        <w:t>ecibir:</w:t>
      </w:r>
    </w:p>
    <w:p w:rsidR="00ED5AC6" w:rsidRPr="00560276" w:rsidRDefault="00ED5AC6" w:rsidP="00AE5C9D">
      <w:pPr>
        <w:spacing w:before="80" w:line="250" w:lineRule="exact"/>
        <w:ind w:left="709"/>
        <w:jc w:val="both"/>
        <w:rPr>
          <w:rFonts w:ascii="Arial" w:eastAsia="Calibri" w:hAnsi="Arial" w:cs="Arial"/>
          <w:spacing w:val="-1"/>
          <w:sz w:val="17"/>
          <w:szCs w:val="17"/>
        </w:rPr>
      </w:pPr>
      <w:r w:rsidRPr="00560276">
        <w:rPr>
          <w:rFonts w:ascii="Arial" w:eastAsia="Calibri" w:hAnsi="Arial" w:cs="Arial"/>
          <w:spacing w:val="-1"/>
          <w:sz w:val="17"/>
          <w:szCs w:val="17"/>
        </w:rPr>
        <w:t xml:space="preserve">En este apartado se informa la integración del rubro </w:t>
      </w:r>
      <w:r w:rsidR="00560276">
        <w:rPr>
          <w:rFonts w:ascii="Arial" w:eastAsia="Calibri" w:hAnsi="Arial" w:cs="Arial"/>
          <w:spacing w:val="-1"/>
          <w:sz w:val="17"/>
          <w:szCs w:val="17"/>
        </w:rPr>
        <w:t>D</w:t>
      </w:r>
      <w:r w:rsidR="00560276" w:rsidRPr="00560276">
        <w:rPr>
          <w:rFonts w:ascii="Arial" w:eastAsia="Calibri" w:hAnsi="Arial" w:cs="Arial"/>
          <w:spacing w:val="-1"/>
          <w:sz w:val="17"/>
          <w:szCs w:val="17"/>
        </w:rPr>
        <w:t xml:space="preserve">erechos a </w:t>
      </w:r>
      <w:r w:rsidR="00560276">
        <w:rPr>
          <w:rFonts w:ascii="Arial" w:eastAsia="Calibri" w:hAnsi="Arial" w:cs="Arial"/>
          <w:spacing w:val="-1"/>
          <w:sz w:val="17"/>
          <w:szCs w:val="17"/>
        </w:rPr>
        <w:t>R</w:t>
      </w:r>
      <w:r w:rsidR="00560276" w:rsidRPr="00560276">
        <w:rPr>
          <w:rFonts w:ascii="Arial" w:eastAsia="Calibri" w:hAnsi="Arial" w:cs="Arial"/>
          <w:spacing w:val="-1"/>
          <w:sz w:val="17"/>
          <w:szCs w:val="17"/>
        </w:rPr>
        <w:t xml:space="preserve">ecibir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 xml:space="preserve">fectivo o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quivalentes</w:t>
      </w:r>
      <w:r w:rsidRPr="00560276">
        <w:rPr>
          <w:rFonts w:ascii="Arial" w:eastAsia="Calibri" w:hAnsi="Arial" w:cs="Arial"/>
          <w:spacing w:val="-1"/>
          <w:sz w:val="17"/>
          <w:szCs w:val="17"/>
        </w:rPr>
        <w:t xml:space="preserve"> de</w:t>
      </w:r>
      <w:r w:rsidR="001E1BE9">
        <w:rPr>
          <w:rFonts w:ascii="Arial" w:eastAsia="Calibri" w:hAnsi="Arial" w:cs="Arial"/>
          <w:spacing w:val="-1"/>
          <w:sz w:val="17"/>
          <w:szCs w:val="17"/>
        </w:rPr>
        <w:t xml:space="preserve"> </w:t>
      </w:r>
      <w:r w:rsidRPr="00560276">
        <w:rPr>
          <w:rFonts w:ascii="Arial" w:eastAsia="Calibri" w:hAnsi="Arial" w:cs="Arial"/>
          <w:spacing w:val="-1"/>
          <w:sz w:val="17"/>
          <w:szCs w:val="17"/>
        </w:rPr>
        <w:t>l</w:t>
      </w:r>
      <w:r w:rsidR="001E1BE9">
        <w:rPr>
          <w:rFonts w:ascii="Arial" w:eastAsia="Calibri" w:hAnsi="Arial" w:cs="Arial"/>
          <w:spacing w:val="-1"/>
          <w:sz w:val="17"/>
          <w:szCs w:val="17"/>
        </w:rPr>
        <w:t>as</w:t>
      </w:r>
      <w:r w:rsidR="00471C1E">
        <w:rPr>
          <w:rFonts w:ascii="Arial" w:eastAsia="Calibri" w:hAnsi="Arial" w:cs="Arial"/>
          <w:spacing w:val="-1"/>
          <w:sz w:val="17"/>
          <w:szCs w:val="17"/>
        </w:rPr>
        <w:t xml:space="preserve"> </w:t>
      </w:r>
      <w:r w:rsidR="00895573">
        <w:rPr>
          <w:rFonts w:ascii="Arial" w:eastAsia="Calibri" w:hAnsi="Arial" w:cs="Arial"/>
          <w:spacing w:val="-1"/>
          <w:sz w:val="17"/>
          <w:szCs w:val="17"/>
        </w:rPr>
        <w:t>Fideicomisos Empresariales No Financieros con Participación Estatal Mayoritaria</w:t>
      </w:r>
      <w:r w:rsidRPr="00560276">
        <w:rPr>
          <w:rFonts w:ascii="Arial" w:eastAsia="Calibri" w:hAnsi="Arial" w:cs="Arial"/>
          <w:spacing w:val="-1"/>
          <w:sz w:val="17"/>
          <w:szCs w:val="17"/>
        </w:rPr>
        <w:t>:</w:t>
      </w:r>
    </w:p>
    <w:p w:rsidR="00ED5AC6" w:rsidRPr="00ED5AC6" w:rsidRDefault="00ED5AC6" w:rsidP="00560276">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D5AC6" w:rsidRPr="002D70DA" w:rsidTr="001050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D5AC6" w:rsidRPr="002D70DA" w:rsidRDefault="00ED5AC6"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AE626F"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AE626F"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1050C4" w:rsidRPr="002D70DA" w:rsidTr="001050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050C4" w:rsidRPr="00895573" w:rsidRDefault="001050C4" w:rsidP="001050C4">
            <w:pPr>
              <w:rPr>
                <w:rFonts w:ascii="Arial" w:hAnsi="Arial" w:cs="Arial"/>
                <w:sz w:val="17"/>
                <w:szCs w:val="17"/>
              </w:rPr>
            </w:pPr>
            <w:r w:rsidRPr="00895573">
              <w:rPr>
                <w:rFonts w:ascii="Arial" w:hAnsi="Arial" w:cs="Arial"/>
                <w:sz w:val="17"/>
                <w:szCs w:val="17"/>
              </w:rPr>
              <w:t>Inversiones Financieras de Corto Plazo</w:t>
            </w:r>
          </w:p>
        </w:tc>
        <w:tc>
          <w:tcPr>
            <w:tcW w:w="2180" w:type="dxa"/>
            <w:tcBorders>
              <w:top w:val="single" w:sz="4" w:space="0" w:color="auto"/>
              <w:left w:val="nil"/>
              <w:bottom w:val="single" w:sz="4" w:space="0" w:color="auto"/>
              <w:right w:val="single" w:sz="4" w:space="0" w:color="auto"/>
            </w:tcBorders>
            <w:shd w:val="clear" w:color="auto" w:fill="auto"/>
          </w:tcPr>
          <w:p w:rsidR="001050C4" w:rsidRPr="001050C4" w:rsidRDefault="001050C4" w:rsidP="001050C4">
            <w:pPr>
              <w:jc w:val="right"/>
              <w:rPr>
                <w:rFonts w:ascii="Arial" w:hAnsi="Arial" w:cs="Arial"/>
                <w:sz w:val="17"/>
                <w:szCs w:val="17"/>
              </w:rPr>
            </w:pPr>
            <w:r w:rsidRPr="001050C4">
              <w:rPr>
                <w:rFonts w:ascii="Arial" w:hAnsi="Arial" w:cs="Arial"/>
                <w:sz w:val="17"/>
                <w:szCs w:val="17"/>
              </w:rPr>
              <w:t xml:space="preserve">59,009,110 </w:t>
            </w:r>
          </w:p>
        </w:tc>
        <w:tc>
          <w:tcPr>
            <w:tcW w:w="2180" w:type="dxa"/>
            <w:tcBorders>
              <w:top w:val="single" w:sz="4" w:space="0" w:color="auto"/>
              <w:left w:val="nil"/>
              <w:bottom w:val="single" w:sz="4" w:space="0" w:color="auto"/>
              <w:right w:val="single" w:sz="4" w:space="0" w:color="auto"/>
            </w:tcBorders>
            <w:shd w:val="clear" w:color="auto" w:fill="auto"/>
          </w:tcPr>
          <w:p w:rsidR="001050C4" w:rsidRPr="001050C4" w:rsidRDefault="001050C4" w:rsidP="001050C4">
            <w:pPr>
              <w:jc w:val="right"/>
              <w:rPr>
                <w:rFonts w:ascii="Arial" w:hAnsi="Arial" w:cs="Arial"/>
                <w:sz w:val="17"/>
                <w:szCs w:val="17"/>
              </w:rPr>
            </w:pPr>
            <w:r w:rsidRPr="001050C4">
              <w:rPr>
                <w:rFonts w:ascii="Arial" w:hAnsi="Arial" w:cs="Arial"/>
                <w:sz w:val="17"/>
                <w:szCs w:val="17"/>
              </w:rPr>
              <w:t xml:space="preserve"> 59,009,110 </w:t>
            </w:r>
          </w:p>
        </w:tc>
      </w:tr>
      <w:tr w:rsidR="001050C4" w:rsidRPr="002D70DA" w:rsidTr="001050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050C4" w:rsidRPr="00895573" w:rsidRDefault="001050C4" w:rsidP="001050C4">
            <w:pPr>
              <w:rPr>
                <w:rFonts w:ascii="Arial" w:hAnsi="Arial" w:cs="Arial"/>
                <w:sz w:val="17"/>
                <w:szCs w:val="17"/>
              </w:rPr>
            </w:pPr>
            <w:r w:rsidRPr="00895573">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1050C4" w:rsidRPr="001050C4" w:rsidRDefault="001050C4" w:rsidP="001050C4">
            <w:pPr>
              <w:jc w:val="right"/>
              <w:rPr>
                <w:rFonts w:ascii="Arial" w:hAnsi="Arial" w:cs="Arial"/>
                <w:sz w:val="17"/>
                <w:szCs w:val="17"/>
              </w:rPr>
            </w:pPr>
            <w:r w:rsidRPr="001050C4">
              <w:rPr>
                <w:rFonts w:ascii="Arial" w:hAnsi="Arial" w:cs="Arial"/>
                <w:sz w:val="17"/>
                <w:szCs w:val="17"/>
              </w:rPr>
              <w:t xml:space="preserve">47,990,845 </w:t>
            </w:r>
          </w:p>
        </w:tc>
        <w:tc>
          <w:tcPr>
            <w:tcW w:w="2180" w:type="dxa"/>
            <w:tcBorders>
              <w:top w:val="single" w:sz="4" w:space="0" w:color="auto"/>
              <w:left w:val="nil"/>
              <w:bottom w:val="single" w:sz="4" w:space="0" w:color="auto"/>
              <w:right w:val="single" w:sz="4" w:space="0" w:color="auto"/>
            </w:tcBorders>
            <w:shd w:val="clear" w:color="auto" w:fill="auto"/>
          </w:tcPr>
          <w:p w:rsidR="001050C4" w:rsidRPr="001050C4" w:rsidRDefault="001050C4" w:rsidP="001050C4">
            <w:pPr>
              <w:jc w:val="right"/>
              <w:rPr>
                <w:rFonts w:ascii="Arial" w:hAnsi="Arial" w:cs="Arial"/>
                <w:sz w:val="17"/>
                <w:szCs w:val="17"/>
              </w:rPr>
            </w:pPr>
            <w:r w:rsidRPr="001050C4">
              <w:rPr>
                <w:rFonts w:ascii="Arial" w:hAnsi="Arial" w:cs="Arial"/>
                <w:sz w:val="17"/>
                <w:szCs w:val="17"/>
              </w:rPr>
              <w:t xml:space="preserve"> 49,909,152 </w:t>
            </w:r>
          </w:p>
        </w:tc>
      </w:tr>
      <w:tr w:rsidR="001050C4" w:rsidRPr="002D70DA" w:rsidTr="001050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050C4" w:rsidRPr="00895573" w:rsidRDefault="001050C4" w:rsidP="001050C4">
            <w:pPr>
              <w:rPr>
                <w:rFonts w:ascii="Arial" w:hAnsi="Arial" w:cs="Arial"/>
                <w:sz w:val="17"/>
                <w:szCs w:val="17"/>
              </w:rPr>
            </w:pPr>
            <w:r w:rsidRPr="00895573">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1050C4" w:rsidRPr="001050C4" w:rsidRDefault="001050C4" w:rsidP="001050C4">
            <w:pPr>
              <w:jc w:val="right"/>
              <w:rPr>
                <w:rFonts w:ascii="Arial" w:hAnsi="Arial" w:cs="Arial"/>
                <w:sz w:val="17"/>
                <w:szCs w:val="17"/>
              </w:rPr>
            </w:pPr>
            <w:r w:rsidRPr="001050C4">
              <w:rPr>
                <w:rFonts w:ascii="Arial" w:hAnsi="Arial" w:cs="Arial"/>
                <w:sz w:val="17"/>
                <w:szCs w:val="17"/>
              </w:rPr>
              <w:t xml:space="preserve">869,392 </w:t>
            </w:r>
          </w:p>
        </w:tc>
        <w:tc>
          <w:tcPr>
            <w:tcW w:w="2180" w:type="dxa"/>
            <w:tcBorders>
              <w:top w:val="single" w:sz="4" w:space="0" w:color="auto"/>
              <w:left w:val="nil"/>
              <w:bottom w:val="single" w:sz="4" w:space="0" w:color="auto"/>
              <w:right w:val="single" w:sz="4" w:space="0" w:color="auto"/>
            </w:tcBorders>
            <w:shd w:val="clear" w:color="auto" w:fill="auto"/>
          </w:tcPr>
          <w:p w:rsidR="001050C4" w:rsidRPr="001050C4" w:rsidRDefault="001050C4" w:rsidP="001050C4">
            <w:pPr>
              <w:jc w:val="right"/>
              <w:rPr>
                <w:rFonts w:ascii="Arial" w:hAnsi="Arial" w:cs="Arial"/>
                <w:sz w:val="17"/>
                <w:szCs w:val="17"/>
              </w:rPr>
            </w:pPr>
            <w:r w:rsidRPr="001050C4">
              <w:rPr>
                <w:rFonts w:ascii="Arial" w:hAnsi="Arial" w:cs="Arial"/>
                <w:sz w:val="17"/>
                <w:szCs w:val="17"/>
              </w:rPr>
              <w:t xml:space="preserve"> 869,392 </w:t>
            </w:r>
          </w:p>
        </w:tc>
      </w:tr>
      <w:tr w:rsidR="001050C4" w:rsidRPr="007C1336" w:rsidTr="001050C4">
        <w:trPr>
          <w:trHeight w:val="240"/>
          <w:jc w:val="center"/>
        </w:trPr>
        <w:tc>
          <w:tcPr>
            <w:tcW w:w="4900" w:type="dxa"/>
            <w:tcBorders>
              <w:top w:val="nil"/>
              <w:left w:val="nil"/>
              <w:bottom w:val="nil"/>
              <w:right w:val="single" w:sz="4" w:space="0" w:color="auto"/>
            </w:tcBorders>
            <w:shd w:val="clear" w:color="000000" w:fill="FFFFFF"/>
            <w:vAlign w:val="center"/>
            <w:hideMark/>
          </w:tcPr>
          <w:p w:rsidR="001050C4" w:rsidRPr="002D70DA" w:rsidRDefault="001050C4" w:rsidP="001050C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050C4" w:rsidRPr="001050C4" w:rsidRDefault="001050C4" w:rsidP="001050C4">
            <w:pPr>
              <w:jc w:val="right"/>
              <w:rPr>
                <w:rFonts w:ascii="Arial" w:hAnsi="Arial" w:cs="Arial"/>
                <w:b/>
                <w:sz w:val="17"/>
                <w:szCs w:val="17"/>
              </w:rPr>
            </w:pPr>
            <w:r w:rsidRPr="001050C4">
              <w:rPr>
                <w:rFonts w:ascii="Arial" w:hAnsi="Arial" w:cs="Arial"/>
                <w:b/>
                <w:sz w:val="17"/>
                <w:szCs w:val="17"/>
              </w:rPr>
              <w:t>107,869,347</w:t>
            </w:r>
          </w:p>
        </w:tc>
        <w:tc>
          <w:tcPr>
            <w:tcW w:w="2180" w:type="dxa"/>
            <w:tcBorders>
              <w:top w:val="nil"/>
              <w:left w:val="single" w:sz="4" w:space="0" w:color="auto"/>
              <w:bottom w:val="single" w:sz="4" w:space="0" w:color="auto"/>
              <w:right w:val="single" w:sz="4" w:space="0" w:color="auto"/>
            </w:tcBorders>
            <w:shd w:val="clear" w:color="000000" w:fill="FFFFFF"/>
          </w:tcPr>
          <w:p w:rsidR="001050C4" w:rsidRPr="001050C4" w:rsidRDefault="001050C4" w:rsidP="001050C4">
            <w:pPr>
              <w:jc w:val="right"/>
              <w:rPr>
                <w:rFonts w:ascii="Arial" w:hAnsi="Arial" w:cs="Arial"/>
                <w:b/>
                <w:sz w:val="17"/>
                <w:szCs w:val="17"/>
              </w:rPr>
            </w:pPr>
            <w:r w:rsidRPr="001050C4">
              <w:rPr>
                <w:rFonts w:ascii="Arial" w:hAnsi="Arial" w:cs="Arial"/>
                <w:b/>
                <w:sz w:val="17"/>
                <w:szCs w:val="17"/>
              </w:rPr>
              <w:t xml:space="preserve"> 109,787,654 </w:t>
            </w:r>
          </w:p>
        </w:tc>
      </w:tr>
    </w:tbl>
    <w:p w:rsidR="002F3A90" w:rsidRDefault="002F3A90" w:rsidP="006335BE">
      <w:pPr>
        <w:spacing w:before="80" w:line="250" w:lineRule="exact"/>
        <w:ind w:left="709"/>
        <w:jc w:val="both"/>
        <w:rPr>
          <w:rFonts w:ascii="Arial" w:eastAsia="Calibri" w:hAnsi="Arial" w:cs="Arial"/>
          <w:spacing w:val="-1"/>
          <w:sz w:val="17"/>
          <w:szCs w:val="17"/>
        </w:rPr>
      </w:pPr>
    </w:p>
    <w:p w:rsidR="0055474B" w:rsidRDefault="002F3A90"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1050C4">
        <w:rPr>
          <w:rFonts w:ascii="Arial" w:eastAsia="Calibri" w:hAnsi="Arial" w:cs="Arial"/>
          <w:spacing w:val="-1"/>
          <w:sz w:val="17"/>
          <w:szCs w:val="17"/>
        </w:rPr>
        <w:t>de</w:t>
      </w:r>
      <w:r>
        <w:rPr>
          <w:rFonts w:ascii="Arial" w:eastAsia="Calibri" w:hAnsi="Arial" w:cs="Arial"/>
          <w:spacing w:val="-1"/>
          <w:sz w:val="17"/>
          <w:szCs w:val="17"/>
        </w:rPr>
        <w:t xml:space="preserve">cremento en las </w:t>
      </w:r>
      <w:r w:rsidRPr="002F3A90">
        <w:rPr>
          <w:rFonts w:ascii="Arial" w:eastAsia="Calibri" w:hAnsi="Arial" w:cs="Arial"/>
          <w:spacing w:val="-1"/>
          <w:sz w:val="17"/>
          <w:szCs w:val="17"/>
        </w:rPr>
        <w:t xml:space="preserve">Cuentas por Cobrar a Corto Plazo </w:t>
      </w:r>
      <w:r w:rsidR="003F4E07">
        <w:rPr>
          <w:rFonts w:ascii="Arial" w:eastAsia="Calibri" w:hAnsi="Arial" w:cs="Arial"/>
          <w:spacing w:val="-1"/>
          <w:sz w:val="17"/>
          <w:szCs w:val="17"/>
        </w:rPr>
        <w:t>obedece principalmente a</w:t>
      </w:r>
      <w:r>
        <w:rPr>
          <w:rFonts w:ascii="Arial" w:eastAsia="Calibri" w:hAnsi="Arial" w:cs="Arial"/>
          <w:spacing w:val="-1"/>
          <w:sz w:val="17"/>
          <w:szCs w:val="17"/>
        </w:rPr>
        <w:t xml:space="preserve">l </w:t>
      </w:r>
      <w:r w:rsidR="003F4E07">
        <w:rPr>
          <w:rFonts w:ascii="Arial" w:eastAsia="Calibri" w:hAnsi="Arial" w:cs="Arial"/>
          <w:spacing w:val="-1"/>
          <w:sz w:val="17"/>
          <w:szCs w:val="17"/>
        </w:rPr>
        <w:t>aumento</w:t>
      </w:r>
      <w:r w:rsidR="000A6857">
        <w:rPr>
          <w:rFonts w:ascii="Arial" w:eastAsia="Calibri" w:hAnsi="Arial" w:cs="Arial"/>
          <w:spacing w:val="-1"/>
          <w:sz w:val="17"/>
          <w:szCs w:val="17"/>
        </w:rPr>
        <w:t xml:space="preserve"> que </w:t>
      </w:r>
      <w:r>
        <w:rPr>
          <w:rFonts w:ascii="Arial" w:eastAsia="Calibri" w:hAnsi="Arial" w:cs="Arial"/>
          <w:spacing w:val="-1"/>
          <w:sz w:val="17"/>
          <w:szCs w:val="17"/>
        </w:rPr>
        <w:t>experiment</w:t>
      </w:r>
      <w:r w:rsidR="000A6857">
        <w:rPr>
          <w:rFonts w:ascii="Arial" w:eastAsia="Calibri" w:hAnsi="Arial" w:cs="Arial"/>
          <w:spacing w:val="-1"/>
          <w:sz w:val="17"/>
          <w:szCs w:val="17"/>
        </w:rPr>
        <w:t xml:space="preserve">ó </w:t>
      </w:r>
      <w:r w:rsidR="001050C4">
        <w:rPr>
          <w:rFonts w:ascii="Arial" w:eastAsia="Calibri" w:hAnsi="Arial" w:cs="Arial"/>
          <w:spacing w:val="-1"/>
          <w:sz w:val="17"/>
          <w:szCs w:val="17"/>
        </w:rPr>
        <w:t>el</w:t>
      </w:r>
      <w:r>
        <w:rPr>
          <w:rFonts w:ascii="Arial" w:eastAsia="Calibri" w:hAnsi="Arial" w:cs="Arial"/>
          <w:spacing w:val="-1"/>
          <w:sz w:val="17"/>
          <w:szCs w:val="17"/>
        </w:rPr>
        <w:t xml:space="preserve"> </w:t>
      </w:r>
      <w:r w:rsidR="001050C4" w:rsidRPr="001050C4">
        <w:rPr>
          <w:rFonts w:ascii="Arial" w:eastAsia="Calibri" w:hAnsi="Arial" w:cs="Arial"/>
          <w:spacing w:val="-1"/>
          <w:sz w:val="17"/>
          <w:szCs w:val="17"/>
        </w:rPr>
        <w:t>Fideicomiso Promotor del Empleo</w:t>
      </w:r>
      <w:r>
        <w:rPr>
          <w:rFonts w:ascii="Arial" w:eastAsia="Calibri" w:hAnsi="Arial" w:cs="Arial"/>
          <w:spacing w:val="-1"/>
          <w:sz w:val="17"/>
          <w:szCs w:val="17"/>
        </w:rPr>
        <w:t>.</w:t>
      </w:r>
    </w:p>
    <w:p w:rsidR="00C75BCA" w:rsidRDefault="00C75BCA">
      <w:pPr>
        <w:rPr>
          <w:rFonts w:ascii="Arial" w:eastAsia="Calibri" w:hAnsi="Arial" w:cs="Arial"/>
          <w:spacing w:val="-1"/>
          <w:sz w:val="17"/>
          <w:szCs w:val="17"/>
        </w:rPr>
      </w:pPr>
    </w:p>
    <w:p w:rsidR="00780EE6" w:rsidRDefault="00780EE6" w:rsidP="00780EE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780EE6" w:rsidRPr="002D70DA" w:rsidRDefault="00780EE6" w:rsidP="00780EE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A6857" w:rsidRPr="002D70DA" w:rsidTr="00C048F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6857" w:rsidRPr="002D70DA" w:rsidRDefault="000A6857" w:rsidP="000B503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A6857" w:rsidRPr="002D70DA" w:rsidRDefault="00AE626F" w:rsidP="000B503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A6857" w:rsidRPr="002D70DA" w:rsidRDefault="00AE626F" w:rsidP="000B503E">
            <w:pPr>
              <w:jc w:val="center"/>
              <w:rPr>
                <w:rFonts w:ascii="Arial" w:hAnsi="Arial" w:cs="Arial"/>
                <w:b/>
                <w:bCs/>
                <w:color w:val="000000"/>
                <w:sz w:val="17"/>
                <w:szCs w:val="17"/>
              </w:rPr>
            </w:pPr>
            <w:r>
              <w:rPr>
                <w:rFonts w:ascii="Arial" w:hAnsi="Arial" w:cs="Arial"/>
                <w:b/>
                <w:bCs/>
                <w:color w:val="000000"/>
                <w:sz w:val="17"/>
                <w:szCs w:val="17"/>
              </w:rPr>
              <w:t>2019</w:t>
            </w:r>
          </w:p>
        </w:tc>
      </w:tr>
      <w:tr w:rsidR="00C048F3" w:rsidRPr="002D70DA" w:rsidTr="00C048F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048F3" w:rsidRPr="00895573" w:rsidRDefault="00C048F3" w:rsidP="00C048F3">
            <w:pPr>
              <w:rPr>
                <w:rFonts w:ascii="Arial" w:hAnsi="Arial" w:cs="Arial"/>
                <w:sz w:val="17"/>
                <w:szCs w:val="17"/>
              </w:rPr>
            </w:pPr>
            <w:r w:rsidRPr="00895573">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C048F3" w:rsidRPr="00C048F3" w:rsidRDefault="00C048F3" w:rsidP="00C048F3">
            <w:pPr>
              <w:jc w:val="right"/>
              <w:rPr>
                <w:rFonts w:ascii="Arial" w:hAnsi="Arial" w:cs="Arial"/>
                <w:sz w:val="17"/>
                <w:szCs w:val="17"/>
              </w:rPr>
            </w:pPr>
            <w:r w:rsidRPr="00C048F3">
              <w:rPr>
                <w:rFonts w:ascii="Arial" w:hAnsi="Arial" w:cs="Arial"/>
                <w:sz w:val="17"/>
                <w:szCs w:val="17"/>
              </w:rPr>
              <w:t>59,009,109</w:t>
            </w:r>
          </w:p>
        </w:tc>
        <w:tc>
          <w:tcPr>
            <w:tcW w:w="2180" w:type="dxa"/>
            <w:tcBorders>
              <w:top w:val="single" w:sz="4" w:space="0" w:color="auto"/>
              <w:left w:val="nil"/>
              <w:bottom w:val="single" w:sz="4" w:space="0" w:color="auto"/>
              <w:right w:val="single" w:sz="4" w:space="0" w:color="auto"/>
            </w:tcBorders>
            <w:shd w:val="clear" w:color="auto" w:fill="auto"/>
          </w:tcPr>
          <w:p w:rsidR="00C048F3" w:rsidRPr="00C048F3" w:rsidRDefault="00C048F3" w:rsidP="00C048F3">
            <w:pPr>
              <w:jc w:val="right"/>
              <w:rPr>
                <w:rFonts w:ascii="Arial" w:hAnsi="Arial" w:cs="Arial"/>
                <w:sz w:val="17"/>
                <w:szCs w:val="17"/>
              </w:rPr>
            </w:pPr>
            <w:r w:rsidRPr="00C048F3">
              <w:rPr>
                <w:rFonts w:ascii="Arial" w:hAnsi="Arial" w:cs="Arial"/>
                <w:sz w:val="17"/>
                <w:szCs w:val="17"/>
              </w:rPr>
              <w:t>59,009,109</w:t>
            </w:r>
          </w:p>
        </w:tc>
      </w:tr>
      <w:tr w:rsidR="00C048F3" w:rsidRPr="002D70DA" w:rsidTr="00C048F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048F3" w:rsidRPr="00895573" w:rsidRDefault="00C048F3" w:rsidP="00C048F3">
            <w:pPr>
              <w:rPr>
                <w:rFonts w:ascii="Arial" w:hAnsi="Arial" w:cs="Arial"/>
                <w:sz w:val="17"/>
                <w:szCs w:val="17"/>
              </w:rPr>
            </w:pPr>
            <w:r w:rsidRPr="00895573">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C048F3" w:rsidRPr="00C048F3" w:rsidRDefault="00C048F3" w:rsidP="00C048F3">
            <w:pPr>
              <w:jc w:val="right"/>
              <w:rPr>
                <w:rFonts w:ascii="Arial" w:hAnsi="Arial" w:cs="Arial"/>
                <w:sz w:val="17"/>
                <w:szCs w:val="17"/>
              </w:rPr>
            </w:pPr>
            <w:r w:rsidRPr="00C048F3">
              <w:rPr>
                <w:rFonts w:ascii="Arial" w:hAnsi="Arial" w:cs="Arial"/>
                <w:sz w:val="17"/>
                <w:szCs w:val="17"/>
              </w:rPr>
              <w:t>48,860,237</w:t>
            </w:r>
          </w:p>
        </w:tc>
        <w:tc>
          <w:tcPr>
            <w:tcW w:w="2180" w:type="dxa"/>
            <w:tcBorders>
              <w:top w:val="single" w:sz="4" w:space="0" w:color="auto"/>
              <w:left w:val="nil"/>
              <w:bottom w:val="single" w:sz="4" w:space="0" w:color="auto"/>
              <w:right w:val="single" w:sz="4" w:space="0" w:color="auto"/>
            </w:tcBorders>
            <w:shd w:val="clear" w:color="auto" w:fill="auto"/>
          </w:tcPr>
          <w:p w:rsidR="00C048F3" w:rsidRPr="00C048F3" w:rsidRDefault="00C048F3" w:rsidP="00C048F3">
            <w:pPr>
              <w:jc w:val="right"/>
              <w:rPr>
                <w:rFonts w:ascii="Arial" w:hAnsi="Arial" w:cs="Arial"/>
                <w:sz w:val="17"/>
                <w:szCs w:val="17"/>
              </w:rPr>
            </w:pPr>
            <w:r w:rsidRPr="00C048F3">
              <w:rPr>
                <w:rFonts w:ascii="Arial" w:hAnsi="Arial" w:cs="Arial"/>
                <w:sz w:val="17"/>
                <w:szCs w:val="17"/>
              </w:rPr>
              <w:t>50,778,545</w:t>
            </w:r>
          </w:p>
        </w:tc>
      </w:tr>
      <w:tr w:rsidR="00C048F3" w:rsidRPr="002D70DA" w:rsidTr="00C048F3">
        <w:trPr>
          <w:trHeight w:val="240"/>
          <w:jc w:val="center"/>
        </w:trPr>
        <w:tc>
          <w:tcPr>
            <w:tcW w:w="4900" w:type="dxa"/>
            <w:tcBorders>
              <w:top w:val="nil"/>
              <w:left w:val="nil"/>
              <w:bottom w:val="nil"/>
              <w:right w:val="single" w:sz="4" w:space="0" w:color="auto"/>
            </w:tcBorders>
            <w:shd w:val="clear" w:color="000000" w:fill="FFFFFF"/>
            <w:vAlign w:val="center"/>
            <w:hideMark/>
          </w:tcPr>
          <w:p w:rsidR="00C048F3" w:rsidRPr="002D70DA" w:rsidRDefault="00C048F3" w:rsidP="00C048F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C048F3" w:rsidRPr="00C048F3" w:rsidRDefault="00C048F3" w:rsidP="00C048F3">
            <w:pPr>
              <w:jc w:val="right"/>
              <w:rPr>
                <w:rFonts w:ascii="Arial" w:hAnsi="Arial" w:cs="Arial"/>
                <w:b/>
                <w:sz w:val="17"/>
                <w:szCs w:val="17"/>
              </w:rPr>
            </w:pPr>
            <w:r w:rsidRPr="00C048F3">
              <w:rPr>
                <w:rFonts w:ascii="Arial" w:hAnsi="Arial" w:cs="Arial"/>
                <w:b/>
                <w:sz w:val="17"/>
                <w:szCs w:val="17"/>
              </w:rPr>
              <w:t>107,869,347</w:t>
            </w:r>
          </w:p>
        </w:tc>
        <w:tc>
          <w:tcPr>
            <w:tcW w:w="2180" w:type="dxa"/>
            <w:tcBorders>
              <w:top w:val="nil"/>
              <w:left w:val="single" w:sz="4" w:space="0" w:color="auto"/>
              <w:bottom w:val="single" w:sz="4" w:space="0" w:color="auto"/>
              <w:right w:val="single" w:sz="4" w:space="0" w:color="auto"/>
            </w:tcBorders>
            <w:shd w:val="clear" w:color="000000" w:fill="FFFFFF"/>
          </w:tcPr>
          <w:p w:rsidR="00C048F3" w:rsidRPr="00C048F3" w:rsidRDefault="00C048F3" w:rsidP="00C048F3">
            <w:pPr>
              <w:jc w:val="right"/>
              <w:rPr>
                <w:rFonts w:ascii="Arial" w:hAnsi="Arial" w:cs="Arial"/>
                <w:b/>
                <w:sz w:val="17"/>
                <w:szCs w:val="17"/>
              </w:rPr>
            </w:pPr>
            <w:r w:rsidRPr="00C048F3">
              <w:rPr>
                <w:rFonts w:ascii="Arial" w:hAnsi="Arial" w:cs="Arial"/>
                <w:b/>
                <w:sz w:val="17"/>
                <w:szCs w:val="17"/>
              </w:rPr>
              <w:t>109,787,654</w:t>
            </w:r>
          </w:p>
        </w:tc>
      </w:tr>
    </w:tbl>
    <w:p w:rsidR="00583759" w:rsidRDefault="00583759" w:rsidP="00583759">
      <w:pPr>
        <w:spacing w:before="80" w:line="250" w:lineRule="exact"/>
        <w:ind w:left="360"/>
        <w:jc w:val="both"/>
        <w:rPr>
          <w:rFonts w:ascii="Arial" w:eastAsia="Calibri" w:hAnsi="Arial" w:cs="Arial"/>
          <w:b/>
          <w:spacing w:val="-1"/>
          <w:sz w:val="17"/>
          <w:szCs w:val="17"/>
        </w:rPr>
      </w:pPr>
    </w:p>
    <w:p w:rsidR="003F4E07" w:rsidRDefault="003F4E07">
      <w:pPr>
        <w:rPr>
          <w:rFonts w:ascii="Arial" w:eastAsia="Calibri" w:hAnsi="Arial" w:cs="Arial"/>
          <w:b/>
          <w:spacing w:val="-1"/>
          <w:sz w:val="17"/>
          <w:szCs w:val="17"/>
        </w:rPr>
      </w:pPr>
      <w:r>
        <w:rPr>
          <w:rFonts w:ascii="Arial" w:eastAsia="Calibri" w:hAnsi="Arial" w:cs="Arial"/>
          <w:b/>
          <w:spacing w:val="-1"/>
          <w:sz w:val="17"/>
          <w:szCs w:val="17"/>
        </w:rPr>
        <w:br w:type="page"/>
      </w:r>
    </w:p>
    <w:p w:rsidR="00000A24" w:rsidRPr="002D70DA" w:rsidRDefault="00000A24"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000A24">
        <w:rPr>
          <w:rFonts w:ascii="Arial" w:eastAsia="Calibri" w:hAnsi="Arial" w:cs="Arial"/>
          <w:b/>
          <w:spacing w:val="-1"/>
          <w:sz w:val="17"/>
          <w:szCs w:val="17"/>
        </w:rPr>
        <w:lastRenderedPageBreak/>
        <w:t>Derechos a Recibir Bienes o Servicios</w:t>
      </w:r>
      <w:r w:rsidRPr="002D70DA">
        <w:rPr>
          <w:rFonts w:ascii="Arial" w:eastAsia="Calibri" w:hAnsi="Arial" w:cs="Arial"/>
          <w:b/>
          <w:spacing w:val="-1"/>
          <w:sz w:val="17"/>
          <w:szCs w:val="17"/>
        </w:rPr>
        <w:t>:</w:t>
      </w:r>
    </w:p>
    <w:p w:rsidR="00454AB9" w:rsidRDefault="00454AB9" w:rsidP="00454AB9">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w:t>
      </w:r>
      <w:r w:rsidR="00BD2046">
        <w:rPr>
          <w:rFonts w:ascii="Arial" w:eastAsia="Calibri" w:hAnsi="Arial" w:cs="Arial"/>
          <w:spacing w:val="-1"/>
          <w:sz w:val="17"/>
          <w:szCs w:val="17"/>
        </w:rPr>
        <w:t xml:space="preserve"> </w:t>
      </w:r>
      <w:r w:rsidRPr="00B467A0">
        <w:rPr>
          <w:rFonts w:ascii="Arial" w:eastAsia="Calibri" w:hAnsi="Arial" w:cs="Arial"/>
          <w:spacing w:val="-1"/>
          <w:sz w:val="17"/>
          <w:szCs w:val="17"/>
        </w:rPr>
        <w:t>l</w:t>
      </w:r>
      <w:r w:rsidR="00BD2046">
        <w:rPr>
          <w:rFonts w:ascii="Arial" w:eastAsia="Calibri" w:hAnsi="Arial" w:cs="Arial"/>
          <w:spacing w:val="-1"/>
          <w:sz w:val="17"/>
          <w:szCs w:val="17"/>
        </w:rPr>
        <w:t>a</w:t>
      </w:r>
      <w:r w:rsidRPr="00B467A0">
        <w:rPr>
          <w:rFonts w:ascii="Arial" w:eastAsia="Calibri" w:hAnsi="Arial" w:cs="Arial"/>
          <w:spacing w:val="-1"/>
          <w:sz w:val="17"/>
          <w:szCs w:val="17"/>
        </w:rPr>
        <w:t xml:space="preserve"> </w:t>
      </w:r>
      <w:r w:rsidR="00BD2046">
        <w:rPr>
          <w:rFonts w:ascii="Arial" w:eastAsia="Calibri" w:hAnsi="Arial" w:cs="Arial"/>
          <w:spacing w:val="-1"/>
          <w:sz w:val="17"/>
          <w:szCs w:val="17"/>
        </w:rPr>
        <w:t xml:space="preserve">cuenta </w:t>
      </w:r>
      <w:r w:rsidR="00BD2046" w:rsidRPr="00BD2046">
        <w:rPr>
          <w:rFonts w:ascii="Arial" w:eastAsia="Calibri" w:hAnsi="Arial" w:cs="Arial"/>
          <w:spacing w:val="-1"/>
          <w:sz w:val="17"/>
          <w:szCs w:val="17"/>
        </w:rPr>
        <w:t>Anticipo a Contratistas por Obras Públicas a Corto Plazo</w:t>
      </w:r>
      <w:r w:rsidRPr="00B467A0">
        <w:rPr>
          <w:rFonts w:ascii="Arial" w:eastAsia="Calibri" w:hAnsi="Arial" w:cs="Arial"/>
          <w:spacing w:val="-1"/>
          <w:sz w:val="17"/>
          <w:szCs w:val="17"/>
        </w:rPr>
        <w:t xml:space="preserve"> se informa</w:t>
      </w:r>
      <w:r w:rsidR="00A872D3">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AE626F">
        <w:rPr>
          <w:rFonts w:ascii="Arial" w:eastAsia="Calibri" w:hAnsi="Arial" w:cs="Arial"/>
          <w:spacing w:val="-1"/>
          <w:sz w:val="17"/>
          <w:szCs w:val="17"/>
        </w:rPr>
        <w:t>2020</w:t>
      </w:r>
      <w:r w:rsidR="00A872D3">
        <w:rPr>
          <w:rFonts w:ascii="Arial" w:eastAsia="Calibri" w:hAnsi="Arial" w:cs="Arial"/>
          <w:spacing w:val="-1"/>
          <w:sz w:val="17"/>
          <w:szCs w:val="17"/>
        </w:rPr>
        <w:t xml:space="preserve"> es de</w:t>
      </w:r>
      <w:r w:rsidR="00BD2046">
        <w:rPr>
          <w:rFonts w:ascii="Arial" w:eastAsia="Calibri" w:hAnsi="Arial" w:cs="Arial"/>
          <w:spacing w:val="-1"/>
          <w:sz w:val="17"/>
          <w:szCs w:val="17"/>
        </w:rPr>
        <w:t xml:space="preserve"> </w:t>
      </w:r>
      <w:r w:rsidR="00997EC4">
        <w:rPr>
          <w:rFonts w:ascii="Arial" w:eastAsia="Calibri" w:hAnsi="Arial" w:cs="Arial"/>
          <w:spacing w:val="-1"/>
          <w:sz w:val="17"/>
          <w:szCs w:val="17"/>
        </w:rPr>
        <w:t>8,888,082</w:t>
      </w:r>
      <w:r w:rsidR="00BD2046">
        <w:rPr>
          <w:rFonts w:ascii="Arial" w:eastAsia="Calibri" w:hAnsi="Arial" w:cs="Arial"/>
          <w:spacing w:val="-1"/>
          <w:sz w:val="17"/>
          <w:szCs w:val="17"/>
        </w:rPr>
        <w:t xml:space="preserve"> y corresponde al </w:t>
      </w:r>
      <w:r w:rsidR="00BD2046" w:rsidRPr="00BD2046">
        <w:rPr>
          <w:rFonts w:ascii="Arial" w:eastAsia="Calibri" w:hAnsi="Arial" w:cs="Arial"/>
          <w:spacing w:val="-1"/>
          <w:sz w:val="17"/>
          <w:szCs w:val="17"/>
        </w:rPr>
        <w:t>Fideicomiso Promotor de Proyectos Económicos y Bienestar Social</w:t>
      </w:r>
      <w:r w:rsidR="00BD2046">
        <w:rPr>
          <w:rFonts w:ascii="Arial" w:eastAsia="Calibri" w:hAnsi="Arial" w:cs="Arial"/>
          <w:spacing w:val="-1"/>
          <w:sz w:val="17"/>
          <w:szCs w:val="17"/>
        </w:rPr>
        <w:t>.</w:t>
      </w:r>
    </w:p>
    <w:p w:rsidR="00BD2046" w:rsidRDefault="00BD2046" w:rsidP="00454AB9">
      <w:pPr>
        <w:spacing w:before="80" w:line="250" w:lineRule="exact"/>
        <w:ind w:left="709"/>
        <w:jc w:val="both"/>
        <w:rPr>
          <w:rFonts w:ascii="Arial" w:eastAsia="Calibri" w:hAnsi="Arial" w:cs="Arial"/>
          <w:spacing w:val="-1"/>
          <w:sz w:val="17"/>
          <w:szCs w:val="17"/>
        </w:rPr>
      </w:pPr>
    </w:p>
    <w:p w:rsidR="00BD2046" w:rsidRPr="002D70DA" w:rsidRDefault="00BD2046" w:rsidP="00BD2046">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BD2046">
        <w:rPr>
          <w:rFonts w:ascii="Arial" w:eastAsia="Calibri" w:hAnsi="Arial" w:cs="Arial"/>
          <w:b/>
          <w:spacing w:val="-1"/>
          <w:sz w:val="17"/>
          <w:szCs w:val="17"/>
        </w:rPr>
        <w:t>Estimación por Pérdida o Deterioro de Activos Circulantes</w:t>
      </w:r>
      <w:r w:rsidRPr="002D70DA">
        <w:rPr>
          <w:rFonts w:ascii="Arial" w:eastAsia="Calibri" w:hAnsi="Arial" w:cs="Arial"/>
          <w:b/>
          <w:spacing w:val="-1"/>
          <w:sz w:val="17"/>
          <w:szCs w:val="17"/>
        </w:rPr>
        <w:t>:</w:t>
      </w:r>
    </w:p>
    <w:p w:rsidR="00BD2046" w:rsidRDefault="00BD2046" w:rsidP="00997EC4">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00997EC4" w:rsidRPr="00997EC4">
        <w:rPr>
          <w:rFonts w:ascii="Arial" w:eastAsia="Calibri" w:hAnsi="Arial" w:cs="Arial"/>
          <w:spacing w:val="-1"/>
          <w:sz w:val="17"/>
          <w:szCs w:val="17"/>
        </w:rPr>
        <w:t>Estimaciones para Cuentas Incobrables por Derechos a Recibir Efectivo o</w:t>
      </w:r>
      <w:r w:rsidR="00997EC4">
        <w:rPr>
          <w:rFonts w:ascii="Arial" w:eastAsia="Calibri" w:hAnsi="Arial" w:cs="Arial"/>
          <w:spacing w:val="-1"/>
          <w:sz w:val="17"/>
          <w:szCs w:val="17"/>
        </w:rPr>
        <w:t xml:space="preserve"> </w:t>
      </w:r>
      <w:r w:rsidR="00997EC4" w:rsidRPr="00997EC4">
        <w:rPr>
          <w:rFonts w:ascii="Arial" w:eastAsia="Calibri" w:hAnsi="Arial" w:cs="Arial"/>
          <w:spacing w:val="-1"/>
          <w:sz w:val="17"/>
          <w:szCs w:val="17"/>
        </w:rPr>
        <w:t>Equivalentes</w:t>
      </w:r>
      <w:r w:rsidR="00997EC4">
        <w:rPr>
          <w:rFonts w:ascii="Arial" w:eastAsia="Calibri" w:hAnsi="Arial" w:cs="Arial"/>
          <w:spacing w:val="-1"/>
          <w:sz w:val="17"/>
          <w:szCs w:val="17"/>
        </w:rPr>
        <w:t xml:space="preserve">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AE626F">
        <w:rPr>
          <w:rFonts w:ascii="Arial" w:eastAsia="Calibri" w:hAnsi="Arial" w:cs="Arial"/>
          <w:spacing w:val="-1"/>
          <w:sz w:val="17"/>
          <w:szCs w:val="17"/>
        </w:rPr>
        <w:t>2020</w:t>
      </w:r>
      <w:r>
        <w:rPr>
          <w:rFonts w:ascii="Arial" w:eastAsia="Calibri" w:hAnsi="Arial" w:cs="Arial"/>
          <w:spacing w:val="-1"/>
          <w:sz w:val="17"/>
          <w:szCs w:val="17"/>
        </w:rPr>
        <w:t xml:space="preserve"> es de </w:t>
      </w:r>
      <w:r w:rsidR="00997EC4" w:rsidRPr="00997EC4">
        <w:rPr>
          <w:rFonts w:ascii="Arial" w:eastAsia="Calibri" w:hAnsi="Arial" w:cs="Arial"/>
          <w:spacing w:val="-1"/>
          <w:sz w:val="17"/>
          <w:szCs w:val="17"/>
        </w:rPr>
        <w:t xml:space="preserve">-22,118,105 </w:t>
      </w:r>
      <w:r>
        <w:rPr>
          <w:rFonts w:ascii="Arial" w:eastAsia="Calibri" w:hAnsi="Arial" w:cs="Arial"/>
          <w:spacing w:val="-1"/>
          <w:sz w:val="17"/>
          <w:szCs w:val="17"/>
        </w:rPr>
        <w:t xml:space="preserve">y corresponde al </w:t>
      </w:r>
      <w:r w:rsidRPr="00BD2046">
        <w:rPr>
          <w:rFonts w:ascii="Arial" w:eastAsia="Calibri" w:hAnsi="Arial" w:cs="Arial"/>
          <w:spacing w:val="-1"/>
          <w:sz w:val="17"/>
          <w:szCs w:val="17"/>
        </w:rPr>
        <w:t>Fideicomiso Promotor del Empleo</w:t>
      </w:r>
      <w:r>
        <w:rPr>
          <w:rFonts w:ascii="Arial" w:eastAsia="Calibri" w:hAnsi="Arial" w:cs="Arial"/>
          <w:spacing w:val="-1"/>
          <w:sz w:val="17"/>
          <w:szCs w:val="17"/>
        </w:rPr>
        <w:t>.</w:t>
      </w:r>
    </w:p>
    <w:p w:rsidR="00BD2046" w:rsidRDefault="00BD2046" w:rsidP="00BD2046">
      <w:pPr>
        <w:spacing w:before="80" w:line="250" w:lineRule="exact"/>
        <w:ind w:left="709"/>
        <w:jc w:val="both"/>
        <w:rPr>
          <w:rFonts w:ascii="Arial" w:eastAsia="Calibri" w:hAnsi="Arial" w:cs="Arial"/>
          <w:spacing w:val="-1"/>
          <w:sz w:val="17"/>
          <w:szCs w:val="17"/>
        </w:rPr>
      </w:pPr>
    </w:p>
    <w:p w:rsidR="007A5CAF" w:rsidRPr="002D70DA" w:rsidRDefault="00A84762" w:rsidP="00A84762">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A84762">
        <w:rPr>
          <w:rFonts w:ascii="Arial" w:eastAsia="Calibri" w:hAnsi="Arial" w:cs="Arial"/>
          <w:b/>
          <w:spacing w:val="-1"/>
          <w:sz w:val="17"/>
          <w:szCs w:val="17"/>
        </w:rPr>
        <w:t>Bienes Inmuebles, Infraestruct</w:t>
      </w:r>
      <w:r>
        <w:rPr>
          <w:rFonts w:ascii="Arial" w:eastAsia="Calibri" w:hAnsi="Arial" w:cs="Arial"/>
          <w:b/>
          <w:spacing w:val="-1"/>
          <w:sz w:val="17"/>
          <w:szCs w:val="17"/>
        </w:rPr>
        <w:t>ura y Construcciones en Proceso</w:t>
      </w:r>
    </w:p>
    <w:p w:rsidR="00021A85" w:rsidRDefault="00021A85" w:rsidP="00E856ED">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S</w:t>
      </w:r>
      <w:r w:rsidRPr="00785016">
        <w:rPr>
          <w:rFonts w:ascii="Arial" w:eastAsia="Calibri" w:hAnsi="Arial" w:cs="Arial"/>
          <w:spacing w:val="-1"/>
          <w:sz w:val="17"/>
          <w:szCs w:val="17"/>
        </w:rPr>
        <w:t xml:space="preserve">e informa la integración </w:t>
      </w:r>
      <w:r>
        <w:rPr>
          <w:rFonts w:ascii="Arial" w:eastAsia="Calibri" w:hAnsi="Arial" w:cs="Arial"/>
          <w:spacing w:val="-1"/>
          <w:sz w:val="17"/>
          <w:szCs w:val="17"/>
        </w:rPr>
        <w:t xml:space="preserve">del </w:t>
      </w:r>
      <w:r w:rsidRPr="00021A85">
        <w:rPr>
          <w:rFonts w:ascii="Arial" w:eastAsia="Calibri" w:hAnsi="Arial" w:cs="Arial"/>
          <w:spacing w:val="-1"/>
          <w:sz w:val="17"/>
          <w:szCs w:val="17"/>
        </w:rPr>
        <w:t xml:space="preserve">saldo al 31 de diciembre del </w:t>
      </w:r>
      <w:r w:rsidR="00AE626F">
        <w:rPr>
          <w:rFonts w:ascii="Arial" w:eastAsia="Calibri" w:hAnsi="Arial" w:cs="Arial"/>
          <w:spacing w:val="-1"/>
          <w:sz w:val="17"/>
          <w:szCs w:val="17"/>
        </w:rPr>
        <w:t>2020</w:t>
      </w:r>
      <w:r w:rsidRPr="00021A85">
        <w:rPr>
          <w:rFonts w:ascii="Arial" w:eastAsia="Calibri" w:hAnsi="Arial" w:cs="Arial"/>
          <w:spacing w:val="-1"/>
          <w:sz w:val="17"/>
          <w:szCs w:val="17"/>
        </w:rPr>
        <w:t xml:space="preserve"> de la cuenta </w:t>
      </w:r>
      <w:r w:rsidR="00A84762" w:rsidRPr="00A84762">
        <w:rPr>
          <w:rFonts w:ascii="Arial" w:eastAsia="Calibri" w:hAnsi="Arial" w:cs="Arial"/>
          <w:spacing w:val="-1"/>
          <w:sz w:val="17"/>
          <w:szCs w:val="17"/>
        </w:rPr>
        <w:t>Bienes Inmuebles, Infraestructura y Construcciones en Proceso</w:t>
      </w:r>
    </w:p>
    <w:p w:rsidR="00021A85" w:rsidRPr="00785016" w:rsidRDefault="00021A85" w:rsidP="00021A8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6"/>
        <w:gridCol w:w="2182"/>
        <w:gridCol w:w="2182"/>
      </w:tblGrid>
      <w:tr w:rsidR="00021A85" w:rsidRPr="002D70DA" w:rsidTr="00AA768A">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21A85" w:rsidRPr="002D70DA" w:rsidRDefault="00021A85" w:rsidP="007B37D9">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AE626F" w:rsidP="007B37D9">
            <w:pPr>
              <w:jc w:val="center"/>
              <w:rPr>
                <w:rFonts w:ascii="Arial" w:hAnsi="Arial" w:cs="Arial"/>
                <w:b/>
                <w:bCs/>
                <w:color w:val="000000"/>
                <w:sz w:val="17"/>
                <w:szCs w:val="17"/>
              </w:rPr>
            </w:pPr>
            <w:r>
              <w:rPr>
                <w:rFonts w:ascii="Arial" w:hAnsi="Arial" w:cs="Arial"/>
                <w:b/>
                <w:bCs/>
                <w:color w:val="000000"/>
                <w:sz w:val="17"/>
                <w:szCs w:val="17"/>
              </w:rPr>
              <w:t>2020</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AE626F" w:rsidP="007B37D9">
            <w:pPr>
              <w:jc w:val="center"/>
              <w:rPr>
                <w:rFonts w:ascii="Arial" w:hAnsi="Arial" w:cs="Arial"/>
                <w:b/>
                <w:bCs/>
                <w:color w:val="000000"/>
                <w:sz w:val="17"/>
                <w:szCs w:val="17"/>
              </w:rPr>
            </w:pPr>
            <w:r>
              <w:rPr>
                <w:rFonts w:ascii="Arial" w:hAnsi="Arial" w:cs="Arial"/>
                <w:b/>
                <w:bCs/>
                <w:color w:val="000000"/>
                <w:sz w:val="17"/>
                <w:szCs w:val="17"/>
              </w:rPr>
              <w:t>2019</w:t>
            </w:r>
          </w:p>
        </w:tc>
      </w:tr>
      <w:tr w:rsidR="00AA768A" w:rsidRPr="002D70DA" w:rsidTr="00AA768A">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AA768A" w:rsidRPr="008A4847" w:rsidRDefault="00AA768A" w:rsidP="00AA768A">
            <w:pPr>
              <w:rPr>
                <w:rFonts w:ascii="Arial" w:hAnsi="Arial" w:cs="Arial"/>
                <w:sz w:val="17"/>
                <w:szCs w:val="17"/>
              </w:rPr>
            </w:pPr>
            <w:r w:rsidRPr="008A4847">
              <w:rPr>
                <w:rFonts w:ascii="Arial" w:hAnsi="Arial" w:cs="Arial"/>
                <w:sz w:val="17"/>
                <w:szCs w:val="17"/>
              </w:rPr>
              <w:t>Terrenos</w:t>
            </w:r>
          </w:p>
        </w:tc>
        <w:tc>
          <w:tcPr>
            <w:tcW w:w="2182"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1,225,991,227 </w:t>
            </w:r>
          </w:p>
        </w:tc>
        <w:tc>
          <w:tcPr>
            <w:tcW w:w="2182"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 1,091,352,220 </w:t>
            </w:r>
          </w:p>
        </w:tc>
      </w:tr>
      <w:tr w:rsidR="00AA768A" w:rsidRPr="002D70DA" w:rsidTr="00AA768A">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AA768A" w:rsidRPr="008A4847" w:rsidRDefault="00AA768A" w:rsidP="00AA768A">
            <w:pPr>
              <w:rPr>
                <w:rFonts w:ascii="Arial" w:hAnsi="Arial" w:cs="Arial"/>
                <w:sz w:val="17"/>
                <w:szCs w:val="17"/>
              </w:rPr>
            </w:pPr>
            <w:r w:rsidRPr="00F80290">
              <w:rPr>
                <w:rFonts w:ascii="Arial" w:hAnsi="Arial" w:cs="Arial"/>
                <w:sz w:val="17"/>
                <w:szCs w:val="17"/>
              </w:rPr>
              <w:t>Viviendas</w:t>
            </w:r>
          </w:p>
        </w:tc>
        <w:tc>
          <w:tcPr>
            <w:tcW w:w="2182"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766,299 </w:t>
            </w:r>
          </w:p>
        </w:tc>
        <w:tc>
          <w:tcPr>
            <w:tcW w:w="2182"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 766,299 </w:t>
            </w:r>
          </w:p>
        </w:tc>
      </w:tr>
      <w:tr w:rsidR="00AA768A" w:rsidRPr="002D70DA" w:rsidTr="00AA768A">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AA768A" w:rsidRPr="008A4847" w:rsidRDefault="00AA768A" w:rsidP="00AA768A">
            <w:pPr>
              <w:rPr>
                <w:rFonts w:ascii="Arial" w:hAnsi="Arial" w:cs="Arial"/>
                <w:sz w:val="17"/>
                <w:szCs w:val="17"/>
              </w:rPr>
            </w:pPr>
            <w:r w:rsidRPr="00F80290">
              <w:rPr>
                <w:rFonts w:ascii="Arial" w:hAnsi="Arial" w:cs="Arial"/>
                <w:sz w:val="17"/>
                <w:szCs w:val="17"/>
              </w:rPr>
              <w:t>Construcciones en Proceso en Bienes de Dominio Público</w:t>
            </w:r>
          </w:p>
        </w:tc>
        <w:tc>
          <w:tcPr>
            <w:tcW w:w="2182" w:type="dxa"/>
            <w:tcBorders>
              <w:top w:val="single" w:sz="4" w:space="0" w:color="auto"/>
              <w:left w:val="nil"/>
              <w:bottom w:val="single" w:sz="4" w:space="0" w:color="auto"/>
              <w:right w:val="single" w:sz="4" w:space="0" w:color="auto"/>
            </w:tcBorders>
            <w:shd w:val="clear" w:color="auto" w:fill="auto"/>
          </w:tcPr>
          <w:p w:rsidR="00AA768A" w:rsidRPr="00F80290" w:rsidRDefault="00AA768A" w:rsidP="00AA768A">
            <w:pPr>
              <w:jc w:val="right"/>
              <w:rPr>
                <w:rFonts w:ascii="Arial" w:hAnsi="Arial" w:cs="Arial"/>
                <w:sz w:val="17"/>
                <w:szCs w:val="17"/>
              </w:rPr>
            </w:pPr>
            <w:r w:rsidRPr="00AA768A">
              <w:rPr>
                <w:rFonts w:ascii="Arial" w:hAnsi="Arial" w:cs="Arial"/>
                <w:sz w:val="17"/>
                <w:szCs w:val="17"/>
              </w:rPr>
              <w:t>37,197,491</w:t>
            </w:r>
          </w:p>
        </w:tc>
        <w:tc>
          <w:tcPr>
            <w:tcW w:w="2182"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 659,234 </w:t>
            </w:r>
          </w:p>
        </w:tc>
      </w:tr>
      <w:tr w:rsidR="00AA768A" w:rsidRPr="002D70DA" w:rsidTr="00AA768A">
        <w:trPr>
          <w:trHeight w:val="240"/>
          <w:jc w:val="center"/>
        </w:trPr>
        <w:tc>
          <w:tcPr>
            <w:tcW w:w="4906" w:type="dxa"/>
            <w:tcBorders>
              <w:top w:val="nil"/>
              <w:left w:val="nil"/>
              <w:bottom w:val="nil"/>
              <w:right w:val="single" w:sz="4" w:space="0" w:color="auto"/>
            </w:tcBorders>
            <w:shd w:val="clear" w:color="000000" w:fill="FFFFFF"/>
            <w:vAlign w:val="center"/>
            <w:hideMark/>
          </w:tcPr>
          <w:p w:rsidR="00AA768A" w:rsidRPr="002D70DA" w:rsidRDefault="00AA768A" w:rsidP="00AA768A">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2" w:type="dxa"/>
            <w:tcBorders>
              <w:top w:val="single" w:sz="4" w:space="0" w:color="auto"/>
              <w:left w:val="single" w:sz="4" w:space="0" w:color="auto"/>
              <w:bottom w:val="single" w:sz="4" w:space="0" w:color="auto"/>
              <w:right w:val="nil"/>
            </w:tcBorders>
            <w:shd w:val="clear" w:color="000000" w:fill="FFFFFF"/>
          </w:tcPr>
          <w:p w:rsidR="00AA768A" w:rsidRPr="00AA768A" w:rsidRDefault="00AA768A" w:rsidP="00AA768A">
            <w:pPr>
              <w:jc w:val="right"/>
              <w:rPr>
                <w:rFonts w:ascii="Arial" w:hAnsi="Arial" w:cs="Arial"/>
                <w:b/>
                <w:sz w:val="17"/>
                <w:szCs w:val="17"/>
              </w:rPr>
            </w:pPr>
            <w:r w:rsidRPr="00AA768A">
              <w:rPr>
                <w:rFonts w:ascii="Arial" w:hAnsi="Arial" w:cs="Arial"/>
                <w:b/>
                <w:sz w:val="17"/>
                <w:szCs w:val="17"/>
              </w:rPr>
              <w:t>1,263,955,017</w:t>
            </w:r>
          </w:p>
        </w:tc>
        <w:tc>
          <w:tcPr>
            <w:tcW w:w="2182" w:type="dxa"/>
            <w:tcBorders>
              <w:top w:val="nil"/>
              <w:left w:val="single" w:sz="4" w:space="0" w:color="auto"/>
              <w:bottom w:val="single" w:sz="4" w:space="0" w:color="auto"/>
              <w:right w:val="single" w:sz="4" w:space="0" w:color="auto"/>
            </w:tcBorders>
            <w:shd w:val="clear" w:color="000000" w:fill="FFFFFF"/>
          </w:tcPr>
          <w:p w:rsidR="00AA768A" w:rsidRPr="00AA768A" w:rsidRDefault="00AA768A" w:rsidP="00AA768A">
            <w:pPr>
              <w:jc w:val="right"/>
              <w:rPr>
                <w:rFonts w:ascii="Arial" w:hAnsi="Arial" w:cs="Arial"/>
                <w:b/>
                <w:sz w:val="17"/>
                <w:szCs w:val="17"/>
              </w:rPr>
            </w:pPr>
            <w:r w:rsidRPr="00AA768A">
              <w:rPr>
                <w:rFonts w:ascii="Arial" w:hAnsi="Arial" w:cs="Arial"/>
                <w:b/>
                <w:sz w:val="17"/>
                <w:szCs w:val="17"/>
              </w:rPr>
              <w:t xml:space="preserve"> 1,092,777,753 </w:t>
            </w:r>
          </w:p>
        </w:tc>
      </w:tr>
    </w:tbl>
    <w:p w:rsidR="00F80290" w:rsidRDefault="00F80290" w:rsidP="00F80290">
      <w:pPr>
        <w:autoSpaceDE w:val="0"/>
        <w:autoSpaceDN w:val="0"/>
        <w:adjustRightInd w:val="0"/>
        <w:spacing w:before="240" w:after="120"/>
        <w:ind w:left="709"/>
        <w:rPr>
          <w:rFonts w:ascii="Arial" w:eastAsia="Calibri" w:hAnsi="Arial" w:cs="Arial"/>
          <w:spacing w:val="-1"/>
          <w:sz w:val="17"/>
          <w:szCs w:val="17"/>
        </w:rPr>
      </w:pPr>
    </w:p>
    <w:p w:rsidR="00F80290" w:rsidRDefault="00F80290" w:rsidP="00F80290">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F80290" w:rsidRPr="002D70DA" w:rsidRDefault="00F80290" w:rsidP="00F8029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F80290" w:rsidRPr="002D70DA" w:rsidTr="00AA768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0290" w:rsidRPr="002D70DA" w:rsidRDefault="00F80290" w:rsidP="00AE626F">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80290" w:rsidRPr="002D70DA" w:rsidRDefault="00AE626F" w:rsidP="00AE626F">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80290" w:rsidRPr="002D70DA" w:rsidRDefault="00AE626F" w:rsidP="00AE626F">
            <w:pPr>
              <w:jc w:val="center"/>
              <w:rPr>
                <w:rFonts w:ascii="Arial" w:hAnsi="Arial" w:cs="Arial"/>
                <w:b/>
                <w:bCs/>
                <w:color w:val="000000"/>
                <w:sz w:val="17"/>
                <w:szCs w:val="17"/>
              </w:rPr>
            </w:pPr>
            <w:r>
              <w:rPr>
                <w:rFonts w:ascii="Arial" w:hAnsi="Arial" w:cs="Arial"/>
                <w:b/>
                <w:bCs/>
                <w:color w:val="000000"/>
                <w:sz w:val="17"/>
                <w:szCs w:val="17"/>
              </w:rPr>
              <w:t>2019</w:t>
            </w:r>
          </w:p>
        </w:tc>
      </w:tr>
      <w:tr w:rsidR="00AA768A" w:rsidRPr="002D70DA" w:rsidTr="00AA768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A768A" w:rsidRPr="00895573" w:rsidRDefault="00AA768A" w:rsidP="00AA768A">
            <w:pPr>
              <w:rPr>
                <w:rFonts w:ascii="Arial" w:hAnsi="Arial" w:cs="Arial"/>
                <w:sz w:val="17"/>
                <w:szCs w:val="17"/>
              </w:rPr>
            </w:pPr>
            <w:r w:rsidRPr="00895573">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1,263,137,742 </w:t>
            </w:r>
          </w:p>
        </w:tc>
        <w:tc>
          <w:tcPr>
            <w:tcW w:w="2180"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1,091,960,478 </w:t>
            </w:r>
          </w:p>
        </w:tc>
      </w:tr>
      <w:tr w:rsidR="00AA768A" w:rsidRPr="002D70DA" w:rsidTr="00AA768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A768A" w:rsidRPr="00895573" w:rsidRDefault="00AA768A" w:rsidP="00AA768A">
            <w:pPr>
              <w:rPr>
                <w:rFonts w:ascii="Arial" w:hAnsi="Arial" w:cs="Arial"/>
                <w:sz w:val="17"/>
                <w:szCs w:val="17"/>
              </w:rPr>
            </w:pPr>
            <w:r w:rsidRPr="00895573">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817,275 </w:t>
            </w:r>
          </w:p>
        </w:tc>
        <w:tc>
          <w:tcPr>
            <w:tcW w:w="2180" w:type="dxa"/>
            <w:tcBorders>
              <w:top w:val="single" w:sz="4" w:space="0" w:color="auto"/>
              <w:left w:val="nil"/>
              <w:bottom w:val="single" w:sz="4" w:space="0" w:color="auto"/>
              <w:right w:val="single" w:sz="4" w:space="0" w:color="auto"/>
            </w:tcBorders>
            <w:shd w:val="clear" w:color="auto" w:fill="auto"/>
          </w:tcPr>
          <w:p w:rsidR="00AA768A" w:rsidRPr="00AA768A" w:rsidRDefault="00AA768A" w:rsidP="00AA768A">
            <w:pPr>
              <w:jc w:val="right"/>
              <w:rPr>
                <w:rFonts w:ascii="Arial" w:hAnsi="Arial" w:cs="Arial"/>
                <w:sz w:val="17"/>
                <w:szCs w:val="17"/>
              </w:rPr>
            </w:pPr>
            <w:r w:rsidRPr="00AA768A">
              <w:rPr>
                <w:rFonts w:ascii="Arial" w:hAnsi="Arial" w:cs="Arial"/>
                <w:sz w:val="17"/>
                <w:szCs w:val="17"/>
              </w:rPr>
              <w:t xml:space="preserve">817,275 </w:t>
            </w:r>
          </w:p>
        </w:tc>
      </w:tr>
      <w:tr w:rsidR="00AA768A" w:rsidRPr="002D70DA" w:rsidTr="00AA768A">
        <w:trPr>
          <w:trHeight w:val="240"/>
          <w:jc w:val="center"/>
        </w:trPr>
        <w:tc>
          <w:tcPr>
            <w:tcW w:w="4900" w:type="dxa"/>
            <w:tcBorders>
              <w:top w:val="nil"/>
              <w:left w:val="nil"/>
              <w:bottom w:val="nil"/>
              <w:right w:val="single" w:sz="4" w:space="0" w:color="auto"/>
            </w:tcBorders>
            <w:shd w:val="clear" w:color="000000" w:fill="FFFFFF"/>
            <w:vAlign w:val="center"/>
            <w:hideMark/>
          </w:tcPr>
          <w:p w:rsidR="00AA768A" w:rsidRPr="002D70DA" w:rsidRDefault="00AA768A" w:rsidP="00AA768A">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A768A" w:rsidRPr="00F80290" w:rsidRDefault="00AA768A" w:rsidP="00AA768A">
            <w:pPr>
              <w:jc w:val="right"/>
              <w:rPr>
                <w:rFonts w:ascii="Arial" w:hAnsi="Arial" w:cs="Arial"/>
                <w:b/>
                <w:sz w:val="17"/>
                <w:szCs w:val="17"/>
              </w:rPr>
            </w:pPr>
            <w:r w:rsidRPr="00AA768A">
              <w:rPr>
                <w:rFonts w:ascii="Arial" w:hAnsi="Arial" w:cs="Arial"/>
                <w:b/>
                <w:sz w:val="17"/>
                <w:szCs w:val="17"/>
              </w:rPr>
              <w:t>1,263,955,017</w:t>
            </w:r>
          </w:p>
        </w:tc>
        <w:tc>
          <w:tcPr>
            <w:tcW w:w="2180" w:type="dxa"/>
            <w:tcBorders>
              <w:top w:val="nil"/>
              <w:left w:val="single" w:sz="4" w:space="0" w:color="auto"/>
              <w:bottom w:val="single" w:sz="4" w:space="0" w:color="auto"/>
              <w:right w:val="single" w:sz="4" w:space="0" w:color="auto"/>
            </w:tcBorders>
            <w:shd w:val="clear" w:color="000000" w:fill="FFFFFF"/>
          </w:tcPr>
          <w:p w:rsidR="00AA768A" w:rsidRPr="00AA768A" w:rsidRDefault="00AA768A" w:rsidP="00AA768A">
            <w:pPr>
              <w:jc w:val="right"/>
              <w:rPr>
                <w:rFonts w:ascii="Arial" w:hAnsi="Arial" w:cs="Arial"/>
                <w:b/>
                <w:sz w:val="17"/>
                <w:szCs w:val="17"/>
              </w:rPr>
            </w:pPr>
            <w:r w:rsidRPr="00AA768A">
              <w:rPr>
                <w:rFonts w:ascii="Arial" w:hAnsi="Arial" w:cs="Arial"/>
                <w:b/>
                <w:sz w:val="17"/>
                <w:szCs w:val="17"/>
              </w:rPr>
              <w:t xml:space="preserve">1,092,777,753 </w:t>
            </w:r>
          </w:p>
        </w:tc>
      </w:tr>
    </w:tbl>
    <w:p w:rsidR="00E13DFB" w:rsidRDefault="00E13DFB">
      <w:pPr>
        <w:rPr>
          <w:rFonts w:ascii="Arial" w:eastAsia="Calibri" w:hAnsi="Arial" w:cs="Arial"/>
          <w:spacing w:val="-1"/>
          <w:sz w:val="17"/>
          <w:szCs w:val="17"/>
        </w:rPr>
      </w:pPr>
    </w:p>
    <w:p w:rsidR="001B511A" w:rsidRDefault="001B511A">
      <w:pPr>
        <w:rPr>
          <w:rFonts w:ascii="Arial" w:eastAsia="Calibri" w:hAnsi="Arial" w:cs="Arial"/>
          <w:spacing w:val="-1"/>
          <w:sz w:val="17"/>
          <w:szCs w:val="17"/>
        </w:rPr>
      </w:pPr>
      <w:r>
        <w:rPr>
          <w:rFonts w:ascii="Arial" w:eastAsia="Calibri" w:hAnsi="Arial" w:cs="Arial"/>
          <w:spacing w:val="-1"/>
          <w:sz w:val="17"/>
          <w:szCs w:val="17"/>
        </w:rPr>
        <w:br w:type="page"/>
      </w:r>
    </w:p>
    <w:p w:rsidR="00AC18F1" w:rsidRDefault="00AC18F1" w:rsidP="00E856ED">
      <w:pPr>
        <w:spacing w:before="80" w:line="250" w:lineRule="exact"/>
        <w:ind w:left="709"/>
        <w:jc w:val="both"/>
        <w:rPr>
          <w:rFonts w:ascii="Arial" w:eastAsia="Calibri" w:hAnsi="Arial" w:cs="Arial"/>
          <w:spacing w:val="-1"/>
          <w:sz w:val="17"/>
          <w:szCs w:val="17"/>
        </w:rPr>
      </w:pPr>
    </w:p>
    <w:p w:rsidR="006335BE" w:rsidRPr="00B8192E"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B8192E">
        <w:rPr>
          <w:rFonts w:ascii="Arial" w:eastAsia="Calibri" w:hAnsi="Arial" w:cs="Arial"/>
          <w:b/>
          <w:spacing w:val="-1"/>
          <w:sz w:val="17"/>
          <w:szCs w:val="17"/>
        </w:rPr>
        <w:t xml:space="preserve">Bienes </w:t>
      </w:r>
      <w:r w:rsidR="008E1BD8" w:rsidRPr="00B8192E">
        <w:rPr>
          <w:rFonts w:ascii="Arial" w:eastAsia="Calibri" w:hAnsi="Arial" w:cs="Arial"/>
          <w:b/>
          <w:spacing w:val="-1"/>
          <w:sz w:val="17"/>
          <w:szCs w:val="17"/>
        </w:rPr>
        <w:t>m</w:t>
      </w:r>
      <w:r w:rsidR="00901A13" w:rsidRPr="00B8192E">
        <w:rPr>
          <w:rFonts w:ascii="Arial" w:eastAsia="Calibri" w:hAnsi="Arial" w:cs="Arial"/>
          <w:b/>
          <w:spacing w:val="-1"/>
          <w:sz w:val="17"/>
          <w:szCs w:val="17"/>
        </w:rPr>
        <w:t>uebles</w:t>
      </w:r>
    </w:p>
    <w:p w:rsidR="007F7800" w:rsidRDefault="007F7800" w:rsidP="00E856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sidR="002864C0">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Bienes Muebles, al 31 de diciembre del </w:t>
      </w:r>
      <w:r w:rsidR="00AE626F">
        <w:rPr>
          <w:rFonts w:ascii="Arial" w:eastAsia="Calibri" w:hAnsi="Arial" w:cs="Arial"/>
          <w:spacing w:val="-1"/>
          <w:sz w:val="17"/>
          <w:szCs w:val="17"/>
        </w:rPr>
        <w:t>2020</w:t>
      </w:r>
      <w:r w:rsidR="00766637">
        <w:rPr>
          <w:rFonts w:ascii="Arial" w:eastAsia="Calibri" w:hAnsi="Arial" w:cs="Arial"/>
          <w:spacing w:val="-1"/>
          <w:sz w:val="17"/>
          <w:szCs w:val="17"/>
        </w:rPr>
        <w:t>:</w:t>
      </w:r>
    </w:p>
    <w:p w:rsidR="002366A1" w:rsidRPr="00785016" w:rsidRDefault="002366A1" w:rsidP="002366A1">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2366A1" w:rsidRPr="002D70DA" w:rsidTr="002C77A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366A1" w:rsidRPr="002D70DA" w:rsidRDefault="002366A1"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AE626F"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AE626F"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2C77AC" w:rsidRPr="002D70DA" w:rsidTr="002C77A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2C77AC" w:rsidRPr="008617D5" w:rsidRDefault="002C77AC" w:rsidP="002C77AC">
            <w:pPr>
              <w:rPr>
                <w:rFonts w:ascii="Arial" w:hAnsi="Arial" w:cs="Arial"/>
                <w:sz w:val="17"/>
                <w:szCs w:val="17"/>
              </w:rPr>
            </w:pPr>
            <w:r w:rsidRPr="008617D5">
              <w:rPr>
                <w:rFonts w:ascii="Arial" w:hAnsi="Arial" w:cs="Arial"/>
                <w:sz w:val="17"/>
                <w:szCs w:val="17"/>
              </w:rPr>
              <w:t>Mobiliario y Equipo de Administración</w:t>
            </w:r>
          </w:p>
        </w:tc>
        <w:tc>
          <w:tcPr>
            <w:tcW w:w="2181" w:type="dxa"/>
            <w:tcBorders>
              <w:top w:val="single" w:sz="4" w:space="0" w:color="auto"/>
              <w:left w:val="nil"/>
              <w:bottom w:val="single" w:sz="4" w:space="0" w:color="auto"/>
              <w:right w:val="single" w:sz="4" w:space="0" w:color="auto"/>
            </w:tcBorders>
            <w:shd w:val="clear" w:color="auto" w:fill="auto"/>
          </w:tcPr>
          <w:p w:rsidR="002C77AC" w:rsidRPr="008617D5" w:rsidRDefault="002C77AC" w:rsidP="002C77AC">
            <w:pPr>
              <w:jc w:val="right"/>
              <w:rPr>
                <w:rFonts w:ascii="Arial" w:hAnsi="Arial" w:cs="Arial"/>
                <w:sz w:val="17"/>
                <w:szCs w:val="17"/>
              </w:rPr>
            </w:pPr>
            <w:r w:rsidRPr="002C77AC">
              <w:rPr>
                <w:rFonts w:ascii="Arial" w:hAnsi="Arial" w:cs="Arial"/>
                <w:sz w:val="17"/>
                <w:szCs w:val="17"/>
              </w:rPr>
              <w:t>1,644,068</w:t>
            </w:r>
          </w:p>
        </w:tc>
        <w:tc>
          <w:tcPr>
            <w:tcW w:w="2181" w:type="dxa"/>
            <w:tcBorders>
              <w:top w:val="single" w:sz="4" w:space="0" w:color="auto"/>
              <w:left w:val="nil"/>
              <w:bottom w:val="single" w:sz="4" w:space="0" w:color="auto"/>
              <w:right w:val="single" w:sz="4" w:space="0" w:color="auto"/>
            </w:tcBorders>
            <w:shd w:val="clear" w:color="auto" w:fill="auto"/>
          </w:tcPr>
          <w:p w:rsidR="002C77AC" w:rsidRPr="002C77AC" w:rsidRDefault="002C77AC" w:rsidP="002C77AC">
            <w:pPr>
              <w:jc w:val="right"/>
              <w:rPr>
                <w:rFonts w:ascii="Arial" w:hAnsi="Arial" w:cs="Arial"/>
                <w:sz w:val="17"/>
                <w:szCs w:val="17"/>
              </w:rPr>
            </w:pPr>
            <w:r w:rsidRPr="002C77AC">
              <w:rPr>
                <w:rFonts w:ascii="Arial" w:hAnsi="Arial" w:cs="Arial"/>
                <w:sz w:val="17"/>
                <w:szCs w:val="17"/>
              </w:rPr>
              <w:t xml:space="preserve"> 1,644,068 </w:t>
            </w:r>
          </w:p>
        </w:tc>
      </w:tr>
      <w:tr w:rsidR="002C77AC" w:rsidRPr="002D70DA" w:rsidTr="002C77AC">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2C77AC" w:rsidRPr="008617D5" w:rsidRDefault="002C77AC" w:rsidP="002C77AC">
            <w:pPr>
              <w:rPr>
                <w:rFonts w:ascii="Arial" w:hAnsi="Arial" w:cs="Arial"/>
                <w:sz w:val="17"/>
                <w:szCs w:val="17"/>
              </w:rPr>
            </w:pPr>
            <w:r w:rsidRPr="008617D5">
              <w:rPr>
                <w:rFonts w:ascii="Arial" w:hAnsi="Arial" w:cs="Arial"/>
                <w:sz w:val="17"/>
                <w:szCs w:val="17"/>
              </w:rPr>
              <w:t>Vehículos y Equipo de Transporte</w:t>
            </w:r>
          </w:p>
        </w:tc>
        <w:tc>
          <w:tcPr>
            <w:tcW w:w="2181" w:type="dxa"/>
            <w:tcBorders>
              <w:top w:val="single" w:sz="4" w:space="0" w:color="auto"/>
              <w:left w:val="nil"/>
              <w:bottom w:val="single" w:sz="4" w:space="0" w:color="auto"/>
              <w:right w:val="single" w:sz="4" w:space="0" w:color="auto"/>
            </w:tcBorders>
            <w:shd w:val="clear" w:color="auto" w:fill="auto"/>
          </w:tcPr>
          <w:p w:rsidR="002C77AC" w:rsidRPr="008617D5" w:rsidRDefault="002C77AC" w:rsidP="002C77AC">
            <w:pPr>
              <w:jc w:val="right"/>
              <w:rPr>
                <w:rFonts w:ascii="Arial" w:hAnsi="Arial" w:cs="Arial"/>
                <w:sz w:val="17"/>
                <w:szCs w:val="17"/>
              </w:rPr>
            </w:pPr>
            <w:r>
              <w:rPr>
                <w:rFonts w:ascii="Arial" w:hAnsi="Arial" w:cs="Arial"/>
                <w:sz w:val="17"/>
                <w:szCs w:val="17"/>
              </w:rPr>
              <w:t>-</w:t>
            </w:r>
            <w:r w:rsidRPr="008617D5">
              <w:rPr>
                <w:rFonts w:ascii="Arial" w:hAnsi="Arial" w:cs="Arial"/>
                <w:sz w:val="17"/>
                <w:szCs w:val="17"/>
              </w:rPr>
              <w:t>99,077</w:t>
            </w:r>
          </w:p>
        </w:tc>
        <w:tc>
          <w:tcPr>
            <w:tcW w:w="2181" w:type="dxa"/>
            <w:tcBorders>
              <w:top w:val="single" w:sz="4" w:space="0" w:color="auto"/>
              <w:left w:val="nil"/>
              <w:bottom w:val="single" w:sz="4" w:space="0" w:color="auto"/>
              <w:right w:val="single" w:sz="4" w:space="0" w:color="auto"/>
            </w:tcBorders>
            <w:shd w:val="clear" w:color="auto" w:fill="auto"/>
          </w:tcPr>
          <w:p w:rsidR="002C77AC" w:rsidRPr="002C77AC" w:rsidRDefault="002C77AC" w:rsidP="002C77AC">
            <w:pPr>
              <w:jc w:val="right"/>
              <w:rPr>
                <w:rFonts w:ascii="Arial" w:hAnsi="Arial" w:cs="Arial"/>
                <w:sz w:val="17"/>
                <w:szCs w:val="17"/>
              </w:rPr>
            </w:pPr>
            <w:r w:rsidRPr="002C77AC">
              <w:rPr>
                <w:rFonts w:ascii="Arial" w:hAnsi="Arial" w:cs="Arial"/>
                <w:sz w:val="17"/>
                <w:szCs w:val="17"/>
              </w:rPr>
              <w:t xml:space="preserve">-99,077 </w:t>
            </w:r>
          </w:p>
        </w:tc>
      </w:tr>
      <w:tr w:rsidR="002C77AC" w:rsidRPr="002D70DA" w:rsidTr="002C77AC">
        <w:trPr>
          <w:trHeight w:val="240"/>
          <w:jc w:val="center"/>
        </w:trPr>
        <w:tc>
          <w:tcPr>
            <w:tcW w:w="4903" w:type="dxa"/>
            <w:tcBorders>
              <w:top w:val="nil"/>
              <w:left w:val="nil"/>
              <w:bottom w:val="nil"/>
              <w:right w:val="single" w:sz="4" w:space="0" w:color="auto"/>
            </w:tcBorders>
            <w:shd w:val="clear" w:color="000000" w:fill="FFFFFF"/>
            <w:vAlign w:val="center"/>
            <w:hideMark/>
          </w:tcPr>
          <w:p w:rsidR="002C77AC" w:rsidRPr="002D70DA" w:rsidRDefault="002C77AC" w:rsidP="002C77A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2C77AC" w:rsidRPr="008617D5" w:rsidRDefault="002C77AC" w:rsidP="002C77AC">
            <w:pPr>
              <w:jc w:val="right"/>
              <w:rPr>
                <w:rFonts w:ascii="Arial" w:hAnsi="Arial" w:cs="Arial"/>
                <w:b/>
                <w:sz w:val="17"/>
                <w:szCs w:val="17"/>
              </w:rPr>
            </w:pPr>
            <w:r w:rsidRPr="008617D5">
              <w:rPr>
                <w:rFonts w:ascii="Arial" w:hAnsi="Arial" w:cs="Arial"/>
                <w:b/>
                <w:sz w:val="17"/>
                <w:szCs w:val="17"/>
              </w:rPr>
              <w:t>1,544,991</w:t>
            </w:r>
          </w:p>
        </w:tc>
        <w:tc>
          <w:tcPr>
            <w:tcW w:w="2181" w:type="dxa"/>
            <w:tcBorders>
              <w:top w:val="nil"/>
              <w:left w:val="single" w:sz="4" w:space="0" w:color="auto"/>
              <w:bottom w:val="single" w:sz="4" w:space="0" w:color="auto"/>
              <w:right w:val="single" w:sz="4" w:space="0" w:color="auto"/>
            </w:tcBorders>
            <w:shd w:val="clear" w:color="000000" w:fill="FFFFFF"/>
          </w:tcPr>
          <w:p w:rsidR="002C77AC" w:rsidRPr="002C77AC" w:rsidRDefault="002C77AC" w:rsidP="002C77AC">
            <w:pPr>
              <w:jc w:val="right"/>
              <w:rPr>
                <w:rFonts w:ascii="Arial" w:hAnsi="Arial" w:cs="Arial"/>
                <w:b/>
                <w:sz w:val="17"/>
                <w:szCs w:val="17"/>
              </w:rPr>
            </w:pPr>
            <w:r w:rsidRPr="002C77AC">
              <w:rPr>
                <w:rFonts w:ascii="Arial" w:hAnsi="Arial" w:cs="Arial"/>
                <w:b/>
                <w:sz w:val="17"/>
                <w:szCs w:val="17"/>
              </w:rPr>
              <w:t xml:space="preserve"> 1,544,991 </w:t>
            </w:r>
          </w:p>
        </w:tc>
      </w:tr>
    </w:tbl>
    <w:p w:rsidR="00FB2635" w:rsidRDefault="00FB2635" w:rsidP="00FB2635">
      <w:pPr>
        <w:autoSpaceDE w:val="0"/>
        <w:autoSpaceDN w:val="0"/>
        <w:adjustRightInd w:val="0"/>
        <w:spacing w:before="240" w:after="120"/>
        <w:ind w:left="709"/>
        <w:rPr>
          <w:rFonts w:ascii="Arial" w:eastAsia="Calibri" w:hAnsi="Arial" w:cs="Arial"/>
          <w:spacing w:val="-1"/>
          <w:sz w:val="17"/>
          <w:szCs w:val="17"/>
        </w:rPr>
      </w:pP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C5505" w:rsidRPr="002D70DA" w:rsidRDefault="006C5505" w:rsidP="006C550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24422" w:rsidRPr="002D70DA" w:rsidTr="00166E1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24422" w:rsidRPr="002D70DA" w:rsidRDefault="00B24422"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24422"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24422"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166E18" w:rsidRPr="002D70DA" w:rsidTr="00166E1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6E18" w:rsidRPr="008617D5" w:rsidRDefault="00166E18" w:rsidP="00166E18">
            <w:pPr>
              <w:rPr>
                <w:rFonts w:ascii="Arial" w:hAnsi="Arial" w:cs="Arial"/>
                <w:sz w:val="17"/>
                <w:szCs w:val="17"/>
              </w:rPr>
            </w:pPr>
            <w:r w:rsidRPr="008617D5">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166E18" w:rsidRPr="008617D5" w:rsidRDefault="00166E18" w:rsidP="00166E18">
            <w:pPr>
              <w:jc w:val="right"/>
              <w:rPr>
                <w:rFonts w:ascii="Arial" w:hAnsi="Arial" w:cs="Arial"/>
                <w:sz w:val="17"/>
                <w:szCs w:val="17"/>
              </w:rPr>
            </w:pPr>
            <w:r w:rsidRPr="008617D5">
              <w:rPr>
                <w:rFonts w:ascii="Arial" w:hAnsi="Arial" w:cs="Arial"/>
                <w:sz w:val="17"/>
                <w:szCs w:val="17"/>
              </w:rPr>
              <w:t xml:space="preserve">554,328 </w:t>
            </w:r>
          </w:p>
        </w:tc>
        <w:tc>
          <w:tcPr>
            <w:tcW w:w="2180" w:type="dxa"/>
            <w:tcBorders>
              <w:top w:val="single" w:sz="4" w:space="0" w:color="auto"/>
              <w:left w:val="nil"/>
              <w:bottom w:val="single" w:sz="4" w:space="0" w:color="auto"/>
              <w:right w:val="single" w:sz="4" w:space="0" w:color="auto"/>
            </w:tcBorders>
            <w:shd w:val="clear" w:color="auto" w:fill="auto"/>
          </w:tcPr>
          <w:p w:rsidR="00166E18" w:rsidRPr="00166E18" w:rsidRDefault="00166E18" w:rsidP="00166E18">
            <w:pPr>
              <w:jc w:val="right"/>
              <w:rPr>
                <w:rFonts w:ascii="Arial" w:hAnsi="Arial" w:cs="Arial"/>
                <w:sz w:val="17"/>
                <w:szCs w:val="17"/>
              </w:rPr>
            </w:pPr>
            <w:r w:rsidRPr="00166E18">
              <w:rPr>
                <w:rFonts w:ascii="Arial" w:hAnsi="Arial" w:cs="Arial"/>
                <w:sz w:val="17"/>
                <w:szCs w:val="17"/>
              </w:rPr>
              <w:t xml:space="preserve">554,328 </w:t>
            </w:r>
          </w:p>
        </w:tc>
      </w:tr>
      <w:tr w:rsidR="00166E18" w:rsidRPr="002D70DA" w:rsidTr="00166E1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6E18" w:rsidRPr="008617D5" w:rsidRDefault="00166E18" w:rsidP="00166E18">
            <w:pPr>
              <w:rPr>
                <w:rFonts w:ascii="Arial" w:hAnsi="Arial" w:cs="Arial"/>
                <w:sz w:val="17"/>
                <w:szCs w:val="17"/>
              </w:rPr>
            </w:pPr>
            <w:r w:rsidRPr="008617D5">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166E18" w:rsidRPr="008617D5" w:rsidRDefault="00166E18" w:rsidP="00166E18">
            <w:pPr>
              <w:jc w:val="right"/>
              <w:rPr>
                <w:rFonts w:ascii="Arial" w:hAnsi="Arial" w:cs="Arial"/>
                <w:sz w:val="17"/>
                <w:szCs w:val="17"/>
              </w:rPr>
            </w:pPr>
            <w:r w:rsidRPr="008617D5">
              <w:rPr>
                <w:rFonts w:ascii="Arial" w:hAnsi="Arial" w:cs="Arial"/>
                <w:sz w:val="17"/>
                <w:szCs w:val="17"/>
              </w:rPr>
              <w:t xml:space="preserve">990,663 </w:t>
            </w:r>
          </w:p>
        </w:tc>
        <w:tc>
          <w:tcPr>
            <w:tcW w:w="2180" w:type="dxa"/>
            <w:tcBorders>
              <w:top w:val="single" w:sz="4" w:space="0" w:color="auto"/>
              <w:left w:val="nil"/>
              <w:bottom w:val="single" w:sz="4" w:space="0" w:color="auto"/>
              <w:right w:val="single" w:sz="4" w:space="0" w:color="auto"/>
            </w:tcBorders>
            <w:shd w:val="clear" w:color="auto" w:fill="auto"/>
          </w:tcPr>
          <w:p w:rsidR="00166E18" w:rsidRPr="00166E18" w:rsidRDefault="00166E18" w:rsidP="00166E18">
            <w:pPr>
              <w:jc w:val="right"/>
              <w:rPr>
                <w:rFonts w:ascii="Arial" w:hAnsi="Arial" w:cs="Arial"/>
                <w:sz w:val="17"/>
                <w:szCs w:val="17"/>
              </w:rPr>
            </w:pPr>
            <w:r w:rsidRPr="00166E18">
              <w:rPr>
                <w:rFonts w:ascii="Arial" w:hAnsi="Arial" w:cs="Arial"/>
                <w:sz w:val="17"/>
                <w:szCs w:val="17"/>
              </w:rPr>
              <w:t xml:space="preserve">990,663 </w:t>
            </w:r>
          </w:p>
        </w:tc>
      </w:tr>
      <w:tr w:rsidR="00166E18" w:rsidRPr="002D70DA" w:rsidTr="00166E18">
        <w:trPr>
          <w:trHeight w:val="240"/>
          <w:jc w:val="center"/>
        </w:trPr>
        <w:tc>
          <w:tcPr>
            <w:tcW w:w="4900" w:type="dxa"/>
            <w:tcBorders>
              <w:top w:val="nil"/>
              <w:left w:val="nil"/>
              <w:bottom w:val="nil"/>
              <w:right w:val="single" w:sz="4" w:space="0" w:color="auto"/>
            </w:tcBorders>
            <w:shd w:val="clear" w:color="000000" w:fill="FFFFFF"/>
            <w:vAlign w:val="center"/>
            <w:hideMark/>
          </w:tcPr>
          <w:p w:rsidR="00166E18" w:rsidRPr="002D70DA" w:rsidRDefault="00166E18" w:rsidP="00166E18">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66E18" w:rsidRPr="00166E18" w:rsidRDefault="00166E18" w:rsidP="00166E18">
            <w:pPr>
              <w:jc w:val="right"/>
              <w:rPr>
                <w:rFonts w:ascii="Arial" w:hAnsi="Arial" w:cs="Arial"/>
                <w:b/>
                <w:sz w:val="17"/>
                <w:szCs w:val="17"/>
              </w:rPr>
            </w:pPr>
            <w:r w:rsidRPr="00166E18">
              <w:rPr>
                <w:rFonts w:ascii="Arial" w:hAnsi="Arial" w:cs="Arial"/>
                <w:b/>
                <w:sz w:val="17"/>
                <w:szCs w:val="17"/>
              </w:rPr>
              <w:t xml:space="preserve">1,544,991 </w:t>
            </w:r>
          </w:p>
        </w:tc>
        <w:tc>
          <w:tcPr>
            <w:tcW w:w="2180" w:type="dxa"/>
            <w:tcBorders>
              <w:top w:val="nil"/>
              <w:left w:val="single" w:sz="4" w:space="0" w:color="auto"/>
              <w:bottom w:val="single" w:sz="4" w:space="0" w:color="auto"/>
              <w:right w:val="single" w:sz="4" w:space="0" w:color="auto"/>
            </w:tcBorders>
            <w:shd w:val="clear" w:color="000000" w:fill="FFFFFF"/>
          </w:tcPr>
          <w:p w:rsidR="00166E18" w:rsidRPr="00166E18" w:rsidRDefault="00166E18" w:rsidP="00166E18">
            <w:pPr>
              <w:jc w:val="right"/>
              <w:rPr>
                <w:rFonts w:ascii="Arial" w:hAnsi="Arial" w:cs="Arial"/>
                <w:b/>
                <w:sz w:val="17"/>
                <w:szCs w:val="17"/>
              </w:rPr>
            </w:pPr>
            <w:r w:rsidRPr="00166E18">
              <w:rPr>
                <w:rFonts w:ascii="Arial" w:hAnsi="Arial" w:cs="Arial"/>
                <w:b/>
                <w:sz w:val="17"/>
                <w:szCs w:val="17"/>
              </w:rPr>
              <w:t xml:space="preserve">1,544,991 </w:t>
            </w:r>
          </w:p>
        </w:tc>
      </w:tr>
    </w:tbl>
    <w:p w:rsidR="00A21366" w:rsidRDefault="00A21366" w:rsidP="00432E48">
      <w:pPr>
        <w:spacing w:before="80" w:line="250" w:lineRule="exact"/>
        <w:ind w:left="709"/>
        <w:jc w:val="both"/>
        <w:rPr>
          <w:rFonts w:ascii="Arial" w:eastAsia="Calibri" w:hAnsi="Arial" w:cs="Arial"/>
          <w:spacing w:val="-1"/>
          <w:sz w:val="17"/>
          <w:szCs w:val="17"/>
        </w:rPr>
      </w:pPr>
    </w:p>
    <w:p w:rsidR="00FB2635" w:rsidRPr="002D70DA" w:rsidRDefault="00FB2635" w:rsidP="00FB2635">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Activos Intangibles</w:t>
      </w:r>
    </w:p>
    <w:p w:rsidR="00C647ED" w:rsidRDefault="00C647ED" w:rsidP="00C647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sidR="008360F1">
        <w:rPr>
          <w:rFonts w:ascii="Arial" w:eastAsia="Calibri" w:hAnsi="Arial" w:cs="Arial"/>
          <w:spacing w:val="-1"/>
          <w:sz w:val="17"/>
          <w:szCs w:val="17"/>
        </w:rPr>
        <w:t xml:space="preserve">que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sidR="008360F1" w:rsidRPr="008360F1">
        <w:rPr>
          <w:rFonts w:ascii="Arial" w:eastAsia="Calibri" w:hAnsi="Arial" w:cs="Arial"/>
          <w:spacing w:val="-1"/>
          <w:sz w:val="17"/>
          <w:szCs w:val="17"/>
        </w:rPr>
        <w:t>Software</w:t>
      </w:r>
      <w:r w:rsidRPr="007F7800">
        <w:rPr>
          <w:rFonts w:ascii="Arial" w:eastAsia="Calibri" w:hAnsi="Arial" w:cs="Arial"/>
          <w:spacing w:val="-1"/>
          <w:sz w:val="17"/>
          <w:szCs w:val="17"/>
        </w:rPr>
        <w:t xml:space="preserve"> al 31 de diciembre del </w:t>
      </w:r>
      <w:r w:rsidR="00AE626F">
        <w:rPr>
          <w:rFonts w:ascii="Arial" w:eastAsia="Calibri" w:hAnsi="Arial" w:cs="Arial"/>
          <w:spacing w:val="-1"/>
          <w:sz w:val="17"/>
          <w:szCs w:val="17"/>
        </w:rPr>
        <w:t>2020</w:t>
      </w:r>
      <w:r w:rsidR="008360F1">
        <w:rPr>
          <w:rFonts w:ascii="Arial" w:eastAsia="Calibri" w:hAnsi="Arial" w:cs="Arial"/>
          <w:spacing w:val="-1"/>
          <w:sz w:val="17"/>
          <w:szCs w:val="17"/>
        </w:rPr>
        <w:t xml:space="preserve"> es de </w:t>
      </w:r>
      <w:r w:rsidR="008360F1" w:rsidRPr="008360F1">
        <w:rPr>
          <w:rFonts w:ascii="Arial" w:eastAsia="Calibri" w:hAnsi="Arial" w:cs="Arial"/>
          <w:spacing w:val="-1"/>
          <w:sz w:val="17"/>
          <w:szCs w:val="17"/>
        </w:rPr>
        <w:t>1,465,801</w:t>
      </w:r>
      <w:r w:rsidR="008360F1">
        <w:rPr>
          <w:rFonts w:ascii="Arial" w:eastAsia="Calibri" w:hAnsi="Arial" w:cs="Arial"/>
          <w:spacing w:val="-1"/>
          <w:sz w:val="17"/>
          <w:szCs w:val="17"/>
        </w:rPr>
        <w:t xml:space="preserve"> y corresponde al </w:t>
      </w:r>
      <w:r w:rsidR="008360F1" w:rsidRPr="008360F1">
        <w:rPr>
          <w:rFonts w:ascii="Arial" w:eastAsia="Calibri" w:hAnsi="Arial" w:cs="Arial"/>
          <w:spacing w:val="-1"/>
          <w:sz w:val="17"/>
          <w:szCs w:val="17"/>
        </w:rPr>
        <w:t>Fideicomiso Promotor del Empleo</w:t>
      </w:r>
      <w:r w:rsidR="00FB2635">
        <w:rPr>
          <w:rFonts w:ascii="Arial" w:eastAsia="Calibri" w:hAnsi="Arial" w:cs="Arial"/>
          <w:spacing w:val="-1"/>
          <w:sz w:val="17"/>
          <w:szCs w:val="17"/>
        </w:rPr>
        <w:t>:</w:t>
      </w:r>
    </w:p>
    <w:p w:rsidR="00A91D78" w:rsidRDefault="00A91D78">
      <w:pPr>
        <w:rPr>
          <w:rFonts w:ascii="Arial" w:eastAsia="Calibri" w:hAnsi="Arial" w:cs="Arial"/>
          <w:spacing w:val="-1"/>
          <w:sz w:val="17"/>
          <w:szCs w:val="17"/>
        </w:rPr>
      </w:pPr>
    </w:p>
    <w:p w:rsidR="006E6D44" w:rsidRPr="00077B39" w:rsidRDefault="006E6D44" w:rsidP="006E6D44">
      <w:pPr>
        <w:spacing w:before="80" w:line="250" w:lineRule="exact"/>
        <w:ind w:left="709"/>
        <w:jc w:val="both"/>
        <w:rPr>
          <w:rFonts w:ascii="Arial" w:eastAsia="Calibri" w:hAnsi="Arial" w:cs="Arial"/>
          <w:spacing w:val="-1"/>
          <w:sz w:val="17"/>
          <w:szCs w:val="17"/>
        </w:rPr>
      </w:pPr>
      <w:r w:rsidRPr="00077B39">
        <w:rPr>
          <w:rFonts w:ascii="Arial" w:eastAsia="Calibri" w:hAnsi="Arial" w:cs="Arial"/>
          <w:spacing w:val="-1"/>
          <w:sz w:val="17"/>
          <w:szCs w:val="17"/>
        </w:rPr>
        <w:t xml:space="preserve">Se informa </w:t>
      </w:r>
      <w:r>
        <w:rPr>
          <w:rFonts w:ascii="Arial" w:eastAsia="Calibri" w:hAnsi="Arial" w:cs="Arial"/>
          <w:spacing w:val="-1"/>
          <w:sz w:val="17"/>
          <w:szCs w:val="17"/>
        </w:rPr>
        <w:t>de la cuenta</w:t>
      </w:r>
      <w:r w:rsidRPr="00077B39">
        <w:rPr>
          <w:rFonts w:ascii="Arial" w:eastAsia="Calibri" w:hAnsi="Arial" w:cs="Arial"/>
          <w:spacing w:val="-1"/>
          <w:sz w:val="17"/>
          <w:szCs w:val="17"/>
        </w:rPr>
        <w:t xml:space="preserve"> de bienes, el monto al 31 de diciembre del </w:t>
      </w:r>
      <w:r w:rsidR="00AE626F">
        <w:rPr>
          <w:rFonts w:ascii="Arial" w:eastAsia="Calibri" w:hAnsi="Arial" w:cs="Arial"/>
          <w:spacing w:val="-1"/>
          <w:sz w:val="17"/>
          <w:szCs w:val="17"/>
        </w:rPr>
        <w:t>2020</w:t>
      </w:r>
      <w:r w:rsidRPr="00077B39">
        <w:rPr>
          <w:rFonts w:ascii="Arial" w:eastAsia="Calibri" w:hAnsi="Arial" w:cs="Arial"/>
          <w:spacing w:val="-1"/>
          <w:sz w:val="17"/>
          <w:szCs w:val="17"/>
        </w:rPr>
        <w:t xml:space="preserve"> de la depreciaci</w:t>
      </w:r>
      <w:r>
        <w:rPr>
          <w:rFonts w:ascii="Arial" w:eastAsia="Calibri" w:hAnsi="Arial" w:cs="Arial"/>
          <w:spacing w:val="-1"/>
          <w:sz w:val="17"/>
          <w:szCs w:val="17"/>
        </w:rPr>
        <w:t>ón del ejercicio y la acumulada</w:t>
      </w:r>
      <w:r w:rsidRPr="00077B39">
        <w:rPr>
          <w:rFonts w:ascii="Arial" w:eastAsia="Calibri" w:hAnsi="Arial" w:cs="Arial"/>
          <w:spacing w:val="-1"/>
          <w:sz w:val="17"/>
          <w:szCs w:val="17"/>
        </w:rPr>
        <w:t>:</w:t>
      </w:r>
    </w:p>
    <w:p w:rsidR="006E6D44" w:rsidRPr="00077B39" w:rsidRDefault="006E6D44" w:rsidP="006E6D44">
      <w:pPr>
        <w:autoSpaceDE w:val="0"/>
        <w:autoSpaceDN w:val="0"/>
        <w:adjustRightInd w:val="0"/>
        <w:spacing w:before="240" w:after="120"/>
        <w:ind w:left="360"/>
        <w:jc w:val="center"/>
        <w:rPr>
          <w:rFonts w:ascii="Arial" w:eastAsia="Calibri" w:hAnsi="Arial" w:cs="Arial"/>
          <w:b/>
          <w:spacing w:val="-1"/>
          <w:sz w:val="17"/>
          <w:szCs w:val="17"/>
        </w:rPr>
      </w:pPr>
      <w:r w:rsidRPr="00077B39">
        <w:rPr>
          <w:rFonts w:ascii="Arial" w:eastAsia="Calibri" w:hAnsi="Arial" w:cs="Arial"/>
          <w:b/>
          <w:spacing w:val="-1"/>
          <w:sz w:val="17"/>
          <w:szCs w:val="17"/>
        </w:rPr>
        <w:t>(Pesos)</w:t>
      </w:r>
    </w:p>
    <w:tbl>
      <w:tblPr>
        <w:tblW w:w="2236" w:type="pct"/>
        <w:jc w:val="center"/>
        <w:tblCellMar>
          <w:left w:w="70" w:type="dxa"/>
          <w:right w:w="70" w:type="dxa"/>
        </w:tblCellMar>
        <w:tblLook w:val="04A0" w:firstRow="1" w:lastRow="0" w:firstColumn="1" w:lastColumn="0" w:noHBand="0" w:noVBand="1"/>
      </w:tblPr>
      <w:tblGrid>
        <w:gridCol w:w="3049"/>
        <w:gridCol w:w="1446"/>
        <w:gridCol w:w="1443"/>
      </w:tblGrid>
      <w:tr w:rsidR="006E6D44" w:rsidRPr="002D70DA" w:rsidTr="00B4139E">
        <w:trPr>
          <w:trHeight w:val="299"/>
          <w:jc w:val="center"/>
        </w:trPr>
        <w:tc>
          <w:tcPr>
            <w:tcW w:w="2567" w:type="pct"/>
            <w:vMerge w:val="restart"/>
            <w:tcBorders>
              <w:top w:val="single" w:sz="4" w:space="0" w:color="auto"/>
              <w:left w:val="single" w:sz="4" w:space="0" w:color="auto"/>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1218"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del ejercicio</w:t>
            </w:r>
          </w:p>
        </w:tc>
        <w:tc>
          <w:tcPr>
            <w:tcW w:w="1216"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acumulada</w:t>
            </w:r>
          </w:p>
        </w:tc>
      </w:tr>
      <w:tr w:rsidR="006E6D44" w:rsidRPr="002D70DA" w:rsidTr="00B4139E">
        <w:trPr>
          <w:trHeight w:val="299"/>
          <w:jc w:val="center"/>
        </w:trPr>
        <w:tc>
          <w:tcPr>
            <w:tcW w:w="2567" w:type="pct"/>
            <w:vMerge/>
            <w:tcBorders>
              <w:left w:val="single" w:sz="4" w:space="0" w:color="auto"/>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8"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6"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r>
      <w:tr w:rsidR="00B4139E" w:rsidRPr="002D70DA" w:rsidTr="00B4139E">
        <w:trPr>
          <w:trHeight w:val="240"/>
          <w:jc w:val="center"/>
        </w:trPr>
        <w:tc>
          <w:tcPr>
            <w:tcW w:w="2567" w:type="pct"/>
            <w:tcBorders>
              <w:top w:val="nil"/>
              <w:left w:val="single" w:sz="4" w:space="0" w:color="auto"/>
              <w:bottom w:val="single" w:sz="4" w:space="0" w:color="auto"/>
              <w:right w:val="single" w:sz="4" w:space="0" w:color="auto"/>
            </w:tcBorders>
            <w:shd w:val="clear" w:color="auto" w:fill="auto"/>
            <w:vAlign w:val="center"/>
            <w:hideMark/>
          </w:tcPr>
          <w:p w:rsidR="00B4139E" w:rsidRPr="002D70DA" w:rsidRDefault="00B4139E" w:rsidP="00B4139E">
            <w:pPr>
              <w:rPr>
                <w:rFonts w:ascii="Arial" w:hAnsi="Arial" w:cs="Arial"/>
                <w:color w:val="000000"/>
                <w:sz w:val="17"/>
                <w:szCs w:val="17"/>
              </w:rPr>
            </w:pPr>
            <w:r w:rsidRPr="009B6079">
              <w:rPr>
                <w:rFonts w:ascii="Arial" w:hAnsi="Arial" w:cs="Arial"/>
                <w:color w:val="000000"/>
                <w:sz w:val="17"/>
                <w:szCs w:val="17"/>
              </w:rPr>
              <w:t>Depreciac</w:t>
            </w:r>
            <w:r>
              <w:rPr>
                <w:rFonts w:ascii="Arial" w:hAnsi="Arial" w:cs="Arial"/>
                <w:color w:val="000000"/>
                <w:sz w:val="17"/>
                <w:szCs w:val="17"/>
              </w:rPr>
              <w:t>ión Acumulada de Bienes</w:t>
            </w:r>
          </w:p>
        </w:tc>
        <w:tc>
          <w:tcPr>
            <w:tcW w:w="1218" w:type="pct"/>
            <w:tcBorders>
              <w:top w:val="nil"/>
              <w:left w:val="nil"/>
              <w:bottom w:val="single" w:sz="4" w:space="0" w:color="auto"/>
              <w:right w:val="single" w:sz="4" w:space="0" w:color="auto"/>
            </w:tcBorders>
            <w:shd w:val="clear" w:color="auto" w:fill="auto"/>
          </w:tcPr>
          <w:p w:rsidR="00B4139E" w:rsidRPr="00B4139E" w:rsidRDefault="001D7300" w:rsidP="00B4139E">
            <w:pPr>
              <w:jc w:val="right"/>
              <w:rPr>
                <w:rFonts w:ascii="Arial" w:hAnsi="Arial" w:cs="Arial"/>
                <w:b/>
                <w:sz w:val="17"/>
                <w:szCs w:val="17"/>
              </w:rPr>
            </w:pPr>
            <w:r w:rsidRPr="001D7300">
              <w:rPr>
                <w:rFonts w:ascii="Arial" w:hAnsi="Arial" w:cs="Arial"/>
                <w:b/>
                <w:sz w:val="17"/>
                <w:szCs w:val="17"/>
              </w:rPr>
              <w:t>-67,600</w:t>
            </w:r>
          </w:p>
        </w:tc>
        <w:tc>
          <w:tcPr>
            <w:tcW w:w="1216" w:type="pct"/>
            <w:tcBorders>
              <w:top w:val="nil"/>
              <w:left w:val="nil"/>
              <w:bottom w:val="single" w:sz="4" w:space="0" w:color="auto"/>
              <w:right w:val="single" w:sz="4" w:space="0" w:color="auto"/>
            </w:tcBorders>
            <w:shd w:val="clear" w:color="auto" w:fill="auto"/>
          </w:tcPr>
          <w:p w:rsidR="00B4139E" w:rsidRPr="00B4139E" w:rsidRDefault="001D7300" w:rsidP="00B4139E">
            <w:pPr>
              <w:jc w:val="right"/>
              <w:rPr>
                <w:rFonts w:ascii="Arial" w:hAnsi="Arial" w:cs="Arial"/>
                <w:b/>
                <w:sz w:val="17"/>
                <w:szCs w:val="17"/>
              </w:rPr>
            </w:pPr>
            <w:r w:rsidRPr="001D7300">
              <w:rPr>
                <w:rFonts w:ascii="Arial" w:hAnsi="Arial" w:cs="Arial"/>
                <w:b/>
                <w:sz w:val="17"/>
                <w:szCs w:val="17"/>
              </w:rPr>
              <w:t>1,507,466</w:t>
            </w:r>
          </w:p>
        </w:tc>
      </w:tr>
    </w:tbl>
    <w:p w:rsidR="006E6D44" w:rsidRDefault="006E6D44" w:rsidP="006E6D44">
      <w:pPr>
        <w:spacing w:before="80" w:line="250" w:lineRule="exact"/>
        <w:ind w:left="709"/>
        <w:jc w:val="both"/>
        <w:rPr>
          <w:rFonts w:ascii="Arial" w:eastAsia="Calibri" w:hAnsi="Arial" w:cs="Arial"/>
          <w:spacing w:val="-1"/>
          <w:sz w:val="17"/>
          <w:szCs w:val="17"/>
        </w:rPr>
      </w:pPr>
    </w:p>
    <w:p w:rsidR="000A6C91" w:rsidRDefault="000A6C91">
      <w:pPr>
        <w:rPr>
          <w:rFonts w:ascii="Arial" w:eastAsia="Calibri" w:hAnsi="Arial" w:cs="Arial"/>
          <w:spacing w:val="-1"/>
          <w:sz w:val="17"/>
          <w:szCs w:val="17"/>
        </w:rPr>
      </w:pPr>
    </w:p>
    <w:p w:rsidR="005C6C27" w:rsidRDefault="005C6C27">
      <w:pPr>
        <w:rPr>
          <w:rFonts w:ascii="Arial" w:eastAsia="Calibri" w:hAnsi="Arial" w:cs="Arial"/>
          <w:spacing w:val="-1"/>
          <w:sz w:val="17"/>
          <w:szCs w:val="17"/>
        </w:rPr>
      </w:pPr>
    </w:p>
    <w:p w:rsidR="00B4139E" w:rsidRDefault="00B4139E">
      <w:pPr>
        <w:rPr>
          <w:rFonts w:ascii="Arial" w:eastAsia="Calibri" w:hAnsi="Arial" w:cs="Arial"/>
          <w:spacing w:val="-1"/>
          <w:sz w:val="17"/>
          <w:szCs w:val="17"/>
        </w:rPr>
      </w:pPr>
      <w:r>
        <w:rPr>
          <w:rFonts w:ascii="Arial" w:eastAsia="Calibri" w:hAnsi="Arial" w:cs="Arial"/>
          <w:spacing w:val="-1"/>
          <w:sz w:val="17"/>
          <w:szCs w:val="17"/>
        </w:rPr>
        <w:br w:type="page"/>
      </w:r>
    </w:p>
    <w:p w:rsidR="006E6D44" w:rsidRDefault="006E6D44" w:rsidP="006E6D4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E6D44" w:rsidRPr="002D70DA" w:rsidRDefault="006E6D44" w:rsidP="006E6D4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FB2DE1" w:rsidRPr="002D70DA" w:rsidTr="00DF72E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B2DE1" w:rsidRPr="002D70DA" w:rsidRDefault="00FB2DE1"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DE1"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2020</w:t>
            </w:r>
          </w:p>
        </w:tc>
      </w:tr>
      <w:tr w:rsidR="00DF72EF" w:rsidRPr="002D70DA" w:rsidTr="00DF72E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72EF" w:rsidRPr="003723F0" w:rsidRDefault="00DF72EF" w:rsidP="00DF72EF">
            <w:pPr>
              <w:rPr>
                <w:rFonts w:ascii="Arial" w:hAnsi="Arial" w:cs="Arial"/>
                <w:color w:val="000000"/>
                <w:sz w:val="17"/>
                <w:szCs w:val="17"/>
              </w:rPr>
            </w:pPr>
            <w:r w:rsidRPr="003723F0">
              <w:rPr>
                <w:rFonts w:ascii="Arial" w:hAnsi="Arial" w:cs="Arial"/>
                <w:color w:val="000000"/>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DF72EF" w:rsidRPr="00DF72EF" w:rsidRDefault="00DF72EF" w:rsidP="00DF72EF">
            <w:pPr>
              <w:jc w:val="right"/>
              <w:rPr>
                <w:rFonts w:ascii="Arial" w:hAnsi="Arial" w:cs="Arial"/>
                <w:sz w:val="17"/>
                <w:szCs w:val="17"/>
              </w:rPr>
            </w:pPr>
            <w:r w:rsidRPr="00DF72EF">
              <w:rPr>
                <w:rFonts w:ascii="Arial" w:hAnsi="Arial" w:cs="Arial"/>
                <w:sz w:val="17"/>
                <w:szCs w:val="17"/>
              </w:rPr>
              <w:t xml:space="preserve">-516,803 </w:t>
            </w:r>
          </w:p>
        </w:tc>
      </w:tr>
      <w:tr w:rsidR="00DF72EF" w:rsidRPr="002D70DA" w:rsidTr="00DF72E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72EF" w:rsidRPr="003723F0" w:rsidRDefault="00DF72EF" w:rsidP="00DF72EF">
            <w:pPr>
              <w:rPr>
                <w:rFonts w:ascii="Arial" w:hAnsi="Arial" w:cs="Arial"/>
                <w:color w:val="000000"/>
                <w:sz w:val="17"/>
                <w:szCs w:val="17"/>
              </w:rPr>
            </w:pPr>
            <w:r w:rsidRPr="003723F0">
              <w:rPr>
                <w:rFonts w:ascii="Arial" w:hAnsi="Arial" w:cs="Arial"/>
                <w:color w:val="000000"/>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DF72EF" w:rsidRPr="00DF72EF" w:rsidRDefault="00DF72EF" w:rsidP="00DF72EF">
            <w:pPr>
              <w:jc w:val="right"/>
              <w:rPr>
                <w:rFonts w:ascii="Arial" w:hAnsi="Arial" w:cs="Arial"/>
                <w:sz w:val="17"/>
                <w:szCs w:val="17"/>
              </w:rPr>
            </w:pPr>
            <w:r w:rsidRPr="00DF72EF">
              <w:rPr>
                <w:rFonts w:ascii="Arial" w:hAnsi="Arial" w:cs="Arial"/>
                <w:sz w:val="17"/>
                <w:szCs w:val="17"/>
              </w:rPr>
              <w:t xml:space="preserve">-990,663 </w:t>
            </w:r>
          </w:p>
        </w:tc>
      </w:tr>
      <w:tr w:rsidR="00FB2DE1" w:rsidRPr="002D70DA" w:rsidTr="00DF72EF">
        <w:trPr>
          <w:trHeight w:val="240"/>
          <w:jc w:val="center"/>
        </w:trPr>
        <w:tc>
          <w:tcPr>
            <w:tcW w:w="4900" w:type="dxa"/>
            <w:tcBorders>
              <w:top w:val="nil"/>
              <w:left w:val="nil"/>
              <w:bottom w:val="nil"/>
              <w:right w:val="single" w:sz="4" w:space="0" w:color="auto"/>
            </w:tcBorders>
            <w:shd w:val="clear" w:color="000000" w:fill="FFFFFF"/>
            <w:vAlign w:val="center"/>
            <w:hideMark/>
          </w:tcPr>
          <w:p w:rsidR="00FB2DE1" w:rsidRPr="002D70DA" w:rsidRDefault="00FB2DE1" w:rsidP="00FB2DE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single" w:sz="4" w:space="0" w:color="auto"/>
            </w:tcBorders>
            <w:shd w:val="clear" w:color="000000" w:fill="FFFFFF"/>
          </w:tcPr>
          <w:p w:rsidR="00FB2DE1" w:rsidRPr="00FB2DE1" w:rsidRDefault="00DF72EF" w:rsidP="00FB2DE1">
            <w:pPr>
              <w:jc w:val="right"/>
              <w:rPr>
                <w:rFonts w:ascii="Arial" w:hAnsi="Arial" w:cs="Arial"/>
                <w:b/>
                <w:sz w:val="17"/>
                <w:szCs w:val="17"/>
              </w:rPr>
            </w:pPr>
            <w:r w:rsidRPr="00DF72EF">
              <w:rPr>
                <w:rFonts w:ascii="Arial" w:hAnsi="Arial" w:cs="Arial"/>
                <w:b/>
                <w:sz w:val="17"/>
                <w:szCs w:val="17"/>
              </w:rPr>
              <w:t>-1,507,466</w:t>
            </w:r>
          </w:p>
        </w:tc>
      </w:tr>
    </w:tbl>
    <w:p w:rsidR="00403D2A" w:rsidRDefault="00403D2A">
      <w:pPr>
        <w:rPr>
          <w:rFonts w:ascii="Arial" w:eastAsia="Calibri" w:hAnsi="Arial" w:cs="Arial"/>
          <w:b/>
          <w:spacing w:val="-1"/>
          <w:sz w:val="17"/>
          <w:szCs w:val="17"/>
        </w:rPr>
      </w:pPr>
    </w:p>
    <w:p w:rsidR="00A16CA6" w:rsidRDefault="00A16CA6">
      <w:pPr>
        <w:rPr>
          <w:rFonts w:ascii="Arial" w:eastAsia="Calibri" w:hAnsi="Arial" w:cs="Arial"/>
          <w:spacing w:val="-1"/>
          <w:sz w:val="17"/>
          <w:szCs w:val="17"/>
        </w:rPr>
      </w:pPr>
      <w:r>
        <w:rPr>
          <w:rFonts w:ascii="Arial" w:eastAsia="Calibri" w:hAnsi="Arial" w:cs="Arial"/>
          <w:spacing w:val="-1"/>
          <w:sz w:val="17"/>
          <w:szCs w:val="17"/>
        </w:rPr>
        <w:br w:type="page"/>
      </w:r>
    </w:p>
    <w:p w:rsidR="001749D4" w:rsidRPr="002D70DA" w:rsidRDefault="001749D4" w:rsidP="001749D4">
      <w:pPr>
        <w:autoSpaceDE w:val="0"/>
        <w:autoSpaceDN w:val="0"/>
        <w:adjustRightInd w:val="0"/>
        <w:spacing w:before="240" w:after="120"/>
        <w:jc w:val="both"/>
        <w:rPr>
          <w:rFonts w:ascii="Arial" w:hAnsi="Arial" w:cs="Arial"/>
          <w:b/>
          <w:sz w:val="17"/>
          <w:szCs w:val="17"/>
        </w:rPr>
      </w:pPr>
      <w:r w:rsidRPr="007330ED">
        <w:rPr>
          <w:rFonts w:ascii="Arial" w:hAnsi="Arial" w:cs="Arial"/>
          <w:b/>
          <w:sz w:val="17"/>
          <w:szCs w:val="17"/>
        </w:rPr>
        <w:lastRenderedPageBreak/>
        <w:t>Pasivo</w:t>
      </w:r>
      <w:r w:rsidR="000008C2" w:rsidRPr="007330ED">
        <w:rPr>
          <w:rStyle w:val="Refdenotaalpie"/>
          <w:rFonts w:ascii="Arial" w:hAnsi="Arial" w:cs="Arial"/>
          <w:b/>
          <w:sz w:val="17"/>
          <w:szCs w:val="17"/>
        </w:rPr>
        <w:footnoteReference w:id="1"/>
      </w:r>
    </w:p>
    <w:p w:rsidR="001A0060" w:rsidRPr="008918A4" w:rsidRDefault="001A0060" w:rsidP="006C17A5">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sidR="00A05A53">
        <w:rPr>
          <w:rFonts w:ascii="Arial" w:eastAsia="Calibri" w:hAnsi="Arial" w:cs="Arial"/>
          <w:spacing w:val="-1"/>
          <w:sz w:val="17"/>
          <w:szCs w:val="17"/>
        </w:rPr>
        <w:t xml:space="preserve"> </w:t>
      </w:r>
      <w:r w:rsidR="00A05A53" w:rsidRPr="008918A4">
        <w:rPr>
          <w:rFonts w:ascii="Arial" w:eastAsia="Calibri" w:hAnsi="Arial" w:cs="Arial"/>
          <w:spacing w:val="-1"/>
          <w:sz w:val="17"/>
          <w:szCs w:val="17"/>
        </w:rPr>
        <w:t xml:space="preserve">el monto al 31 de diciembre del </w:t>
      </w:r>
      <w:r w:rsidR="00AE626F">
        <w:rPr>
          <w:rFonts w:ascii="Arial" w:eastAsia="Calibri" w:hAnsi="Arial" w:cs="Arial"/>
          <w:spacing w:val="-1"/>
          <w:sz w:val="17"/>
          <w:szCs w:val="17"/>
        </w:rPr>
        <w:t>2020</w:t>
      </w:r>
      <w:r w:rsidR="00A05A53">
        <w:rPr>
          <w:rFonts w:ascii="Arial" w:eastAsia="Calibri" w:hAnsi="Arial" w:cs="Arial"/>
          <w:spacing w:val="-1"/>
          <w:sz w:val="17"/>
          <w:szCs w:val="17"/>
        </w:rPr>
        <w:t xml:space="preserve"> d</w:t>
      </w:r>
      <w:r w:rsidRPr="008918A4">
        <w:rPr>
          <w:rFonts w:ascii="Arial" w:eastAsia="Calibri" w:hAnsi="Arial" w:cs="Arial"/>
          <w:spacing w:val="-1"/>
          <w:sz w:val="17"/>
          <w:szCs w:val="17"/>
        </w:rPr>
        <w:t xml:space="preserve">el rubro de </w:t>
      </w:r>
      <w:r w:rsidR="00A05A53" w:rsidRPr="00A05A53">
        <w:rPr>
          <w:rFonts w:ascii="Arial" w:eastAsia="Calibri" w:hAnsi="Arial" w:cs="Arial"/>
          <w:spacing w:val="-1"/>
          <w:sz w:val="17"/>
          <w:szCs w:val="17"/>
        </w:rPr>
        <w:t>Cuentas por Pagar a Corto Plazo</w:t>
      </w:r>
      <w:r w:rsidR="00A05A53">
        <w:rPr>
          <w:rFonts w:ascii="Arial" w:eastAsia="Calibri" w:hAnsi="Arial" w:cs="Arial"/>
          <w:spacing w:val="-1"/>
          <w:sz w:val="17"/>
          <w:szCs w:val="17"/>
        </w:rPr>
        <w:t>:</w:t>
      </w:r>
    </w:p>
    <w:p w:rsidR="001A0060" w:rsidRPr="005540CE" w:rsidRDefault="001A0060" w:rsidP="001A0060">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1A0060" w:rsidRPr="002D70DA" w:rsidTr="00632A64">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1A0060" w:rsidP="001A006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1A0060" w:rsidRPr="002D70DA" w:rsidRDefault="00AE626F"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AE626F"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632A64" w:rsidRPr="002D70DA" w:rsidTr="00632A64">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32A64" w:rsidRPr="00014CA8" w:rsidRDefault="00632A64" w:rsidP="00632A64">
            <w:pPr>
              <w:rPr>
                <w:rFonts w:ascii="Arial" w:hAnsi="Arial" w:cs="Arial"/>
                <w:sz w:val="17"/>
                <w:szCs w:val="17"/>
              </w:rPr>
            </w:pPr>
            <w:r w:rsidRPr="00014CA8">
              <w:rPr>
                <w:rFonts w:ascii="Arial" w:hAnsi="Arial" w:cs="Arial"/>
                <w:sz w:val="17"/>
                <w:szCs w:val="17"/>
              </w:rPr>
              <w:t>Proveedores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632A64" w:rsidRPr="00014CA8" w:rsidRDefault="00632A64" w:rsidP="00632A64">
            <w:pPr>
              <w:jc w:val="right"/>
              <w:rPr>
                <w:rFonts w:ascii="Arial" w:hAnsi="Arial" w:cs="Arial"/>
                <w:sz w:val="17"/>
                <w:szCs w:val="17"/>
              </w:rPr>
            </w:pPr>
            <w:r w:rsidRPr="00632A64">
              <w:rPr>
                <w:rFonts w:ascii="Arial" w:hAnsi="Arial" w:cs="Arial"/>
                <w:sz w:val="17"/>
                <w:szCs w:val="17"/>
              </w:rPr>
              <w:t>1,361</w:t>
            </w:r>
          </w:p>
        </w:tc>
        <w:tc>
          <w:tcPr>
            <w:tcW w:w="2148" w:type="dxa"/>
            <w:tcBorders>
              <w:top w:val="nil"/>
              <w:left w:val="single" w:sz="4" w:space="0" w:color="auto"/>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8,713</w:t>
            </w:r>
          </w:p>
        </w:tc>
      </w:tr>
      <w:tr w:rsidR="00632A64" w:rsidRPr="002D70DA" w:rsidTr="00632A64">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32A64" w:rsidRPr="00014CA8" w:rsidRDefault="00632A64" w:rsidP="00632A64">
            <w:pPr>
              <w:rPr>
                <w:rFonts w:ascii="Arial" w:hAnsi="Arial" w:cs="Arial"/>
                <w:sz w:val="17"/>
                <w:szCs w:val="17"/>
              </w:rPr>
            </w:pPr>
            <w:r w:rsidRPr="00014CA8">
              <w:rPr>
                <w:rFonts w:ascii="Arial" w:hAnsi="Arial" w:cs="Arial"/>
                <w:sz w:val="17"/>
                <w:szCs w:val="17"/>
              </w:rPr>
              <w:t>Retenciones y Contribuciones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632A64" w:rsidRPr="00014CA8" w:rsidRDefault="00632A64" w:rsidP="00632A64">
            <w:pPr>
              <w:jc w:val="right"/>
              <w:rPr>
                <w:rFonts w:ascii="Arial" w:hAnsi="Arial" w:cs="Arial"/>
                <w:sz w:val="17"/>
                <w:szCs w:val="17"/>
              </w:rPr>
            </w:pPr>
            <w:r w:rsidRPr="00632A64">
              <w:rPr>
                <w:rFonts w:ascii="Arial" w:hAnsi="Arial" w:cs="Arial"/>
                <w:sz w:val="17"/>
                <w:szCs w:val="17"/>
              </w:rPr>
              <w:t>725,524</w:t>
            </w:r>
          </w:p>
        </w:tc>
        <w:tc>
          <w:tcPr>
            <w:tcW w:w="2148" w:type="dxa"/>
            <w:tcBorders>
              <w:top w:val="nil"/>
              <w:left w:val="single" w:sz="4" w:space="0" w:color="auto"/>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 xml:space="preserve"> 434,085 </w:t>
            </w:r>
          </w:p>
        </w:tc>
      </w:tr>
      <w:tr w:rsidR="00632A64" w:rsidRPr="002D70DA" w:rsidTr="00632A6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632A64" w:rsidRPr="00014CA8" w:rsidRDefault="00632A64" w:rsidP="00632A64">
            <w:pPr>
              <w:rPr>
                <w:rFonts w:ascii="Arial" w:hAnsi="Arial" w:cs="Arial"/>
                <w:sz w:val="17"/>
                <w:szCs w:val="17"/>
              </w:rPr>
            </w:pPr>
            <w:r w:rsidRPr="00014CA8">
              <w:rPr>
                <w:rFonts w:ascii="Arial" w:hAnsi="Arial" w:cs="Arial"/>
                <w:sz w:val="17"/>
                <w:szCs w:val="17"/>
              </w:rPr>
              <w:t>Otras Cuentas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632A64" w:rsidRPr="00014CA8" w:rsidRDefault="00632A64" w:rsidP="00632A64">
            <w:pPr>
              <w:jc w:val="right"/>
              <w:rPr>
                <w:rFonts w:ascii="Arial" w:hAnsi="Arial" w:cs="Arial"/>
                <w:sz w:val="17"/>
                <w:szCs w:val="17"/>
              </w:rPr>
            </w:pPr>
            <w:r w:rsidRPr="00632A64">
              <w:rPr>
                <w:rFonts w:ascii="Arial" w:hAnsi="Arial" w:cs="Arial"/>
                <w:sz w:val="17"/>
                <w:szCs w:val="17"/>
              </w:rPr>
              <w:t>304,426</w:t>
            </w:r>
          </w:p>
        </w:tc>
        <w:tc>
          <w:tcPr>
            <w:tcW w:w="2148" w:type="dxa"/>
            <w:tcBorders>
              <w:top w:val="nil"/>
              <w:left w:val="single" w:sz="4" w:space="0" w:color="auto"/>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 xml:space="preserve"> 364,855 </w:t>
            </w:r>
          </w:p>
        </w:tc>
      </w:tr>
      <w:tr w:rsidR="00632A64" w:rsidRPr="002D70DA" w:rsidTr="00632A64">
        <w:trPr>
          <w:trHeight w:val="240"/>
          <w:jc w:val="center"/>
        </w:trPr>
        <w:tc>
          <w:tcPr>
            <w:tcW w:w="4743" w:type="dxa"/>
            <w:tcBorders>
              <w:top w:val="single" w:sz="4" w:space="0" w:color="auto"/>
              <w:right w:val="single" w:sz="4" w:space="0" w:color="auto"/>
            </w:tcBorders>
            <w:shd w:val="clear" w:color="auto" w:fill="auto"/>
            <w:vAlign w:val="center"/>
          </w:tcPr>
          <w:p w:rsidR="00632A64" w:rsidRPr="00F93CE5" w:rsidRDefault="00632A64" w:rsidP="00632A64">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632A64" w:rsidRPr="00632A64" w:rsidRDefault="00632A64" w:rsidP="00632A64">
            <w:pPr>
              <w:jc w:val="right"/>
              <w:rPr>
                <w:rFonts w:ascii="Arial" w:hAnsi="Arial" w:cs="Arial"/>
                <w:b/>
                <w:sz w:val="17"/>
                <w:szCs w:val="17"/>
              </w:rPr>
            </w:pPr>
            <w:r w:rsidRPr="00632A64">
              <w:rPr>
                <w:rFonts w:ascii="Arial" w:hAnsi="Arial" w:cs="Arial"/>
                <w:b/>
                <w:sz w:val="17"/>
                <w:szCs w:val="17"/>
              </w:rPr>
              <w:t>1,031,311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32A64" w:rsidRPr="00632A64" w:rsidRDefault="00632A64" w:rsidP="00632A64">
            <w:pPr>
              <w:jc w:val="right"/>
              <w:rPr>
                <w:rFonts w:ascii="Arial" w:hAnsi="Arial" w:cs="Arial"/>
                <w:b/>
                <w:sz w:val="17"/>
                <w:szCs w:val="17"/>
              </w:rPr>
            </w:pPr>
            <w:r w:rsidRPr="00632A64">
              <w:rPr>
                <w:rFonts w:ascii="Arial" w:hAnsi="Arial" w:cs="Arial"/>
                <w:b/>
                <w:sz w:val="17"/>
                <w:szCs w:val="17"/>
              </w:rPr>
              <w:t xml:space="preserve"> 807,653 </w:t>
            </w:r>
          </w:p>
        </w:tc>
      </w:tr>
    </w:tbl>
    <w:p w:rsidR="000B6CE6" w:rsidRDefault="000B6CE6">
      <w:pPr>
        <w:rPr>
          <w:rFonts w:ascii="Arial" w:eastAsia="Calibri" w:hAnsi="Arial" w:cs="Arial"/>
          <w:spacing w:val="-1"/>
          <w:sz w:val="17"/>
          <w:szCs w:val="17"/>
        </w:rPr>
      </w:pPr>
    </w:p>
    <w:p w:rsidR="00E85264" w:rsidRDefault="00E85264" w:rsidP="00E8526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E85264" w:rsidRPr="002D70DA" w:rsidRDefault="00E85264" w:rsidP="00E8526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B4BC8" w:rsidRPr="002D70DA" w:rsidTr="00632A6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B4BC8" w:rsidRPr="002D70DA" w:rsidRDefault="000B4BC8"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4BC8"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4BC8"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632A64" w:rsidRPr="002D70DA" w:rsidTr="00632A6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2A64" w:rsidRPr="00632D57" w:rsidRDefault="00632A64" w:rsidP="00632A64">
            <w:pPr>
              <w:rPr>
                <w:rFonts w:ascii="Arial" w:hAnsi="Arial" w:cs="Arial"/>
                <w:sz w:val="17"/>
                <w:szCs w:val="17"/>
              </w:rPr>
            </w:pPr>
            <w:r w:rsidRPr="00632D57">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 xml:space="preserve">319,033 </w:t>
            </w:r>
          </w:p>
        </w:tc>
        <w:tc>
          <w:tcPr>
            <w:tcW w:w="2180" w:type="dxa"/>
            <w:tcBorders>
              <w:top w:val="single" w:sz="4" w:space="0" w:color="auto"/>
              <w:left w:val="nil"/>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 xml:space="preserve">54,301 </w:t>
            </w:r>
          </w:p>
        </w:tc>
      </w:tr>
      <w:tr w:rsidR="00632A64" w:rsidRPr="002D70DA" w:rsidTr="00632A6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2A64" w:rsidRPr="00632D57" w:rsidRDefault="00632A64" w:rsidP="00632A64">
            <w:pPr>
              <w:rPr>
                <w:rFonts w:ascii="Arial" w:hAnsi="Arial" w:cs="Arial"/>
                <w:sz w:val="17"/>
                <w:szCs w:val="17"/>
              </w:rPr>
            </w:pPr>
            <w:r w:rsidRPr="00632D57">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 xml:space="preserve">712,277 </w:t>
            </w:r>
          </w:p>
        </w:tc>
        <w:tc>
          <w:tcPr>
            <w:tcW w:w="2180" w:type="dxa"/>
            <w:tcBorders>
              <w:top w:val="single" w:sz="4" w:space="0" w:color="auto"/>
              <w:left w:val="nil"/>
              <w:bottom w:val="single" w:sz="4" w:space="0" w:color="auto"/>
              <w:right w:val="single" w:sz="4" w:space="0" w:color="auto"/>
            </w:tcBorders>
            <w:shd w:val="clear" w:color="auto" w:fill="auto"/>
          </w:tcPr>
          <w:p w:rsidR="00632A64" w:rsidRPr="00632A64" w:rsidRDefault="00632A64" w:rsidP="00632A64">
            <w:pPr>
              <w:jc w:val="right"/>
              <w:rPr>
                <w:rFonts w:ascii="Arial" w:hAnsi="Arial" w:cs="Arial"/>
                <w:sz w:val="17"/>
                <w:szCs w:val="17"/>
              </w:rPr>
            </w:pPr>
            <w:r w:rsidRPr="00632A64">
              <w:rPr>
                <w:rFonts w:ascii="Arial" w:hAnsi="Arial" w:cs="Arial"/>
                <w:sz w:val="17"/>
                <w:szCs w:val="17"/>
              </w:rPr>
              <w:t xml:space="preserve">753,352 </w:t>
            </w:r>
          </w:p>
        </w:tc>
      </w:tr>
      <w:tr w:rsidR="00632A64" w:rsidRPr="002D70DA" w:rsidTr="00632A64">
        <w:trPr>
          <w:trHeight w:val="240"/>
          <w:jc w:val="center"/>
        </w:trPr>
        <w:tc>
          <w:tcPr>
            <w:tcW w:w="4900" w:type="dxa"/>
            <w:tcBorders>
              <w:top w:val="nil"/>
              <w:left w:val="nil"/>
              <w:bottom w:val="nil"/>
              <w:right w:val="single" w:sz="4" w:space="0" w:color="auto"/>
            </w:tcBorders>
            <w:shd w:val="clear" w:color="000000" w:fill="FFFFFF"/>
            <w:vAlign w:val="center"/>
            <w:hideMark/>
          </w:tcPr>
          <w:p w:rsidR="00632A64" w:rsidRPr="002D70DA" w:rsidRDefault="00632A64" w:rsidP="00632A6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632A64" w:rsidRPr="00632D57" w:rsidRDefault="00632A64" w:rsidP="00632A64">
            <w:pPr>
              <w:jc w:val="right"/>
              <w:rPr>
                <w:rFonts w:ascii="Arial" w:hAnsi="Arial" w:cs="Arial"/>
                <w:b/>
                <w:sz w:val="17"/>
                <w:szCs w:val="17"/>
              </w:rPr>
            </w:pPr>
            <w:r w:rsidRPr="00632A64">
              <w:rPr>
                <w:rFonts w:ascii="Arial" w:hAnsi="Arial" w:cs="Arial"/>
                <w:b/>
                <w:sz w:val="17"/>
                <w:szCs w:val="17"/>
              </w:rPr>
              <w:t>1,031,311</w:t>
            </w:r>
          </w:p>
        </w:tc>
        <w:tc>
          <w:tcPr>
            <w:tcW w:w="2180" w:type="dxa"/>
            <w:tcBorders>
              <w:top w:val="nil"/>
              <w:left w:val="single" w:sz="4" w:space="0" w:color="auto"/>
              <w:bottom w:val="single" w:sz="4" w:space="0" w:color="auto"/>
              <w:right w:val="single" w:sz="4" w:space="0" w:color="auto"/>
            </w:tcBorders>
            <w:shd w:val="clear" w:color="000000" w:fill="FFFFFF"/>
          </w:tcPr>
          <w:p w:rsidR="00632A64" w:rsidRPr="00632A64" w:rsidRDefault="00632A64" w:rsidP="00632A64">
            <w:pPr>
              <w:jc w:val="right"/>
              <w:rPr>
                <w:rFonts w:ascii="Arial" w:hAnsi="Arial" w:cs="Arial"/>
                <w:b/>
                <w:sz w:val="17"/>
                <w:szCs w:val="17"/>
              </w:rPr>
            </w:pPr>
            <w:r w:rsidRPr="00632A64">
              <w:rPr>
                <w:rFonts w:ascii="Arial" w:hAnsi="Arial" w:cs="Arial"/>
                <w:b/>
                <w:sz w:val="17"/>
                <w:szCs w:val="17"/>
              </w:rPr>
              <w:t xml:space="preserve">807,653 </w:t>
            </w:r>
          </w:p>
        </w:tc>
      </w:tr>
    </w:tbl>
    <w:p w:rsidR="006515BE" w:rsidRDefault="006515BE" w:rsidP="006C17A5">
      <w:pPr>
        <w:spacing w:before="80" w:line="250" w:lineRule="exact"/>
        <w:ind w:left="709"/>
        <w:jc w:val="both"/>
        <w:rPr>
          <w:rFonts w:ascii="Arial" w:eastAsia="Calibri" w:hAnsi="Arial" w:cs="Arial"/>
          <w:spacing w:val="-1"/>
          <w:sz w:val="17"/>
          <w:szCs w:val="17"/>
        </w:rPr>
      </w:pPr>
    </w:p>
    <w:p w:rsidR="00175DF8" w:rsidRDefault="00175DF8" w:rsidP="00175DF8">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Pr>
          <w:rFonts w:ascii="Arial" w:eastAsia="Calibri" w:hAnsi="Arial" w:cs="Arial"/>
          <w:spacing w:val="-1"/>
          <w:sz w:val="17"/>
          <w:szCs w:val="17"/>
        </w:rPr>
        <w:t>qu</w:t>
      </w:r>
      <w:r w:rsidRPr="002D70DA">
        <w:rPr>
          <w:rFonts w:ascii="Arial" w:eastAsia="Calibri" w:hAnsi="Arial" w:cs="Arial"/>
          <w:spacing w:val="-1"/>
          <w:sz w:val="17"/>
          <w:szCs w:val="17"/>
        </w:rPr>
        <w:t xml:space="preserve">e el monto </w:t>
      </w:r>
      <w:r>
        <w:rPr>
          <w:rFonts w:ascii="Arial" w:eastAsia="Calibri" w:hAnsi="Arial" w:cs="Arial"/>
          <w:spacing w:val="-1"/>
          <w:sz w:val="17"/>
          <w:szCs w:val="17"/>
        </w:rPr>
        <w:t xml:space="preserve">al 31 de diciembre del </w:t>
      </w:r>
      <w:r w:rsidR="00AE626F">
        <w:rPr>
          <w:rFonts w:ascii="Arial" w:eastAsia="Calibri" w:hAnsi="Arial" w:cs="Arial"/>
          <w:spacing w:val="-1"/>
          <w:sz w:val="17"/>
          <w:szCs w:val="17"/>
        </w:rPr>
        <w:t>2020</w:t>
      </w:r>
      <w:r>
        <w:rPr>
          <w:rFonts w:ascii="Arial" w:eastAsia="Calibri" w:hAnsi="Arial" w:cs="Arial"/>
          <w:spacing w:val="-1"/>
          <w:sz w:val="17"/>
          <w:szCs w:val="17"/>
        </w:rPr>
        <w:t xml:space="preserve"> de la cuenta </w:t>
      </w:r>
      <w:r w:rsidRPr="00175DF8">
        <w:rPr>
          <w:rFonts w:ascii="Arial" w:eastAsia="Calibri" w:hAnsi="Arial" w:cs="Arial"/>
          <w:spacing w:val="-1"/>
          <w:sz w:val="17"/>
          <w:szCs w:val="17"/>
        </w:rPr>
        <w:t xml:space="preserve">Fondos y Bienes de Terceros en Garantía y/o Administración a Largo Plazo </w:t>
      </w:r>
      <w:r>
        <w:rPr>
          <w:rFonts w:ascii="Arial" w:eastAsia="Calibri" w:hAnsi="Arial" w:cs="Arial"/>
          <w:spacing w:val="-1"/>
          <w:sz w:val="17"/>
          <w:szCs w:val="17"/>
        </w:rPr>
        <w:t xml:space="preserve">es de </w:t>
      </w:r>
      <w:r w:rsidR="000D7580" w:rsidRPr="000D7580">
        <w:rPr>
          <w:rFonts w:ascii="Arial" w:eastAsia="Calibri" w:hAnsi="Arial" w:cs="Arial"/>
          <w:spacing w:val="-1"/>
          <w:sz w:val="17"/>
          <w:szCs w:val="17"/>
        </w:rPr>
        <w:t xml:space="preserve">28,937,326 </w:t>
      </w:r>
      <w:r>
        <w:rPr>
          <w:rFonts w:ascii="Arial" w:eastAsia="Calibri" w:hAnsi="Arial" w:cs="Arial"/>
          <w:spacing w:val="-1"/>
          <w:sz w:val="17"/>
          <w:szCs w:val="17"/>
        </w:rPr>
        <w:t xml:space="preserve">y corresponden </w:t>
      </w:r>
      <w:r w:rsidRPr="00175DF8">
        <w:rPr>
          <w:rFonts w:ascii="Arial" w:eastAsia="Calibri" w:hAnsi="Arial" w:cs="Arial"/>
          <w:spacing w:val="-1"/>
          <w:sz w:val="17"/>
          <w:szCs w:val="17"/>
        </w:rPr>
        <w:t>al</w:t>
      </w:r>
      <w:r>
        <w:rPr>
          <w:rFonts w:ascii="Arial" w:eastAsia="Calibri" w:hAnsi="Arial" w:cs="Arial"/>
          <w:spacing w:val="-1"/>
          <w:sz w:val="17"/>
          <w:szCs w:val="17"/>
        </w:rPr>
        <w:t xml:space="preserve"> </w:t>
      </w:r>
      <w:r w:rsidR="000D7580" w:rsidRPr="000D7580">
        <w:rPr>
          <w:rFonts w:ascii="Arial" w:eastAsia="Calibri" w:hAnsi="Arial" w:cs="Arial"/>
          <w:spacing w:val="-1"/>
          <w:sz w:val="17"/>
          <w:szCs w:val="17"/>
        </w:rPr>
        <w:t>Fideicomiso Promotor del Empleo</w:t>
      </w:r>
      <w:r w:rsidR="000D7580">
        <w:rPr>
          <w:rFonts w:ascii="Arial" w:eastAsia="Calibri" w:hAnsi="Arial" w:cs="Arial"/>
          <w:spacing w:val="-1"/>
          <w:sz w:val="17"/>
          <w:szCs w:val="17"/>
        </w:rPr>
        <w:t>.</w:t>
      </w:r>
    </w:p>
    <w:p w:rsidR="00C41BE6" w:rsidRDefault="00C41BE6" w:rsidP="004A1BCC">
      <w:pPr>
        <w:rPr>
          <w:rFonts w:ascii="Arial" w:eastAsia="Calibri" w:hAnsi="Arial" w:cs="Arial"/>
          <w:spacing w:val="-1"/>
          <w:sz w:val="17"/>
          <w:szCs w:val="17"/>
        </w:rPr>
      </w:pPr>
    </w:p>
    <w:p w:rsidR="00C41BE6" w:rsidRDefault="00C41BE6">
      <w:pPr>
        <w:rPr>
          <w:rFonts w:ascii="Arial" w:eastAsia="Calibri" w:hAnsi="Arial" w:cs="Arial"/>
          <w:spacing w:val="-1"/>
          <w:sz w:val="17"/>
          <w:szCs w:val="17"/>
        </w:rPr>
      </w:pPr>
      <w:r>
        <w:rPr>
          <w:rFonts w:ascii="Arial" w:eastAsia="Calibri" w:hAnsi="Arial" w:cs="Arial"/>
          <w:spacing w:val="-1"/>
          <w:sz w:val="17"/>
          <w:szCs w:val="17"/>
        </w:rPr>
        <w:br w:type="page"/>
      </w:r>
    </w:p>
    <w:p w:rsidR="00CF338E" w:rsidRPr="00F15CC6" w:rsidRDefault="00CF338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F15CC6">
        <w:rPr>
          <w:rFonts w:ascii="Arial" w:hAnsi="Arial" w:cs="Arial"/>
          <w:b/>
          <w:sz w:val="17"/>
          <w:szCs w:val="17"/>
        </w:rPr>
        <w:lastRenderedPageBreak/>
        <w:t>Notas al Estado de Actividades</w:t>
      </w:r>
    </w:p>
    <w:p w:rsidR="00DD12CE" w:rsidRDefault="00DD12CE" w:rsidP="00A97BFD">
      <w:pPr>
        <w:autoSpaceDE w:val="0"/>
        <w:autoSpaceDN w:val="0"/>
        <w:adjustRightInd w:val="0"/>
        <w:spacing w:before="240" w:after="120"/>
        <w:ind w:left="360"/>
        <w:jc w:val="both"/>
        <w:rPr>
          <w:rFonts w:ascii="Arial" w:hAnsi="Arial" w:cs="Arial"/>
          <w:b/>
          <w:sz w:val="17"/>
          <w:szCs w:val="17"/>
        </w:rPr>
      </w:pPr>
    </w:p>
    <w:p w:rsidR="00CF338E" w:rsidRPr="00DD12CE" w:rsidRDefault="000008C2"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DD12CE">
        <w:rPr>
          <w:rFonts w:ascii="Arial" w:hAnsi="Arial" w:cs="Arial"/>
          <w:b/>
          <w:sz w:val="17"/>
          <w:szCs w:val="17"/>
        </w:rPr>
        <w:t>Ingresos de gestión</w:t>
      </w:r>
    </w:p>
    <w:p w:rsidR="000008C2" w:rsidRPr="002D70DA" w:rsidRDefault="000008C2" w:rsidP="00DD12C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impuestos, contribuciones de mejoras, derechos, productos, aprovechamientos, </w:t>
      </w:r>
      <w:r w:rsidR="007C302E">
        <w:rPr>
          <w:rFonts w:ascii="Arial" w:eastAsia="Calibri" w:hAnsi="Arial" w:cs="Arial"/>
          <w:spacing w:val="-1"/>
          <w:sz w:val="17"/>
          <w:szCs w:val="17"/>
        </w:rPr>
        <w:t>e ingresos por venta de bienes de servicios</w:t>
      </w:r>
      <w:r w:rsidRPr="002D70DA">
        <w:rPr>
          <w:rFonts w:ascii="Arial" w:eastAsia="Calibri" w:hAnsi="Arial" w:cs="Arial"/>
          <w:spacing w:val="-1"/>
          <w:sz w:val="17"/>
          <w:szCs w:val="17"/>
        </w:rPr>
        <w:t xml:space="preserve">, se informa los montos totales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w:t>
      </w:r>
    </w:p>
    <w:p w:rsidR="000008C2" w:rsidRPr="002D70DA" w:rsidRDefault="000008C2" w:rsidP="000008C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0008C2" w:rsidRPr="002D70DA" w:rsidTr="00F81207">
        <w:trPr>
          <w:trHeight w:val="143"/>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08C2" w:rsidRPr="002D70DA" w:rsidRDefault="00F9045D">
            <w:pPr>
              <w:jc w:val="center"/>
              <w:rPr>
                <w:rFonts w:ascii="Arial" w:hAnsi="Arial" w:cs="Arial"/>
                <w:b/>
                <w:bCs/>
                <w:color w:val="000000"/>
                <w:sz w:val="17"/>
                <w:szCs w:val="17"/>
              </w:rPr>
            </w:pPr>
            <w:r w:rsidRPr="002D70DA">
              <w:rPr>
                <w:rFonts w:ascii="Arial" w:hAnsi="Arial" w:cs="Arial"/>
                <w:b/>
                <w:bCs/>
                <w:color w:val="000000"/>
                <w:sz w:val="17"/>
                <w:szCs w:val="17"/>
              </w:rPr>
              <w:t>C</w:t>
            </w:r>
            <w:r w:rsidR="00882163">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AE626F">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AE626F">
            <w:pPr>
              <w:jc w:val="center"/>
              <w:rPr>
                <w:rFonts w:ascii="Arial" w:hAnsi="Arial" w:cs="Arial"/>
                <w:b/>
                <w:bCs/>
                <w:color w:val="000000"/>
                <w:sz w:val="17"/>
                <w:szCs w:val="17"/>
              </w:rPr>
            </w:pPr>
            <w:r>
              <w:rPr>
                <w:rFonts w:ascii="Arial" w:hAnsi="Arial" w:cs="Arial"/>
                <w:b/>
                <w:bCs/>
                <w:color w:val="000000"/>
                <w:sz w:val="17"/>
                <w:szCs w:val="17"/>
              </w:rPr>
              <w:t>2019</w:t>
            </w:r>
          </w:p>
        </w:tc>
      </w:tr>
      <w:tr w:rsidR="00F81207" w:rsidRPr="001E79D9" w:rsidTr="00F8120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F81207" w:rsidRPr="00826886" w:rsidRDefault="00F81207" w:rsidP="00F81207">
            <w:pPr>
              <w:rPr>
                <w:rFonts w:ascii="Arial" w:hAnsi="Arial" w:cs="Arial"/>
                <w:sz w:val="17"/>
                <w:szCs w:val="17"/>
              </w:rPr>
            </w:pPr>
            <w:r w:rsidRPr="00826886">
              <w:rPr>
                <w:rFonts w:ascii="Arial" w:hAnsi="Arial" w:cs="Arial"/>
                <w:sz w:val="17"/>
                <w:szCs w:val="17"/>
              </w:rPr>
              <w:t>Productos de Tipo Corriente</w:t>
            </w:r>
          </w:p>
        </w:tc>
        <w:tc>
          <w:tcPr>
            <w:tcW w:w="2180" w:type="dxa"/>
            <w:tcBorders>
              <w:top w:val="nil"/>
              <w:left w:val="nil"/>
              <w:bottom w:val="single" w:sz="4" w:space="0" w:color="auto"/>
              <w:right w:val="single" w:sz="4" w:space="0" w:color="auto"/>
            </w:tcBorders>
            <w:shd w:val="clear" w:color="auto" w:fill="auto"/>
          </w:tcPr>
          <w:p w:rsidR="00F81207" w:rsidRPr="00A97BFD" w:rsidRDefault="00F81207" w:rsidP="00F81207">
            <w:pPr>
              <w:jc w:val="right"/>
              <w:rPr>
                <w:rFonts w:ascii="Arial" w:hAnsi="Arial" w:cs="Arial"/>
                <w:sz w:val="17"/>
                <w:szCs w:val="17"/>
              </w:rPr>
            </w:pPr>
            <w:r w:rsidRPr="00F81207">
              <w:rPr>
                <w:rFonts w:ascii="Arial" w:hAnsi="Arial" w:cs="Arial"/>
                <w:sz w:val="17"/>
                <w:szCs w:val="17"/>
              </w:rPr>
              <w:t>1,938,483</w:t>
            </w:r>
          </w:p>
        </w:tc>
        <w:tc>
          <w:tcPr>
            <w:tcW w:w="2180" w:type="dxa"/>
            <w:tcBorders>
              <w:top w:val="nil"/>
              <w:left w:val="nil"/>
              <w:bottom w:val="single" w:sz="4" w:space="0" w:color="auto"/>
              <w:right w:val="single" w:sz="4" w:space="0" w:color="auto"/>
            </w:tcBorders>
            <w:shd w:val="clear" w:color="auto" w:fill="auto"/>
          </w:tcPr>
          <w:p w:rsidR="00F81207" w:rsidRPr="00F81207" w:rsidRDefault="00F81207" w:rsidP="00F81207">
            <w:pPr>
              <w:jc w:val="right"/>
              <w:rPr>
                <w:rFonts w:ascii="Arial" w:hAnsi="Arial" w:cs="Arial"/>
                <w:sz w:val="17"/>
                <w:szCs w:val="17"/>
              </w:rPr>
            </w:pPr>
            <w:r w:rsidRPr="00F81207">
              <w:rPr>
                <w:rFonts w:ascii="Arial" w:hAnsi="Arial" w:cs="Arial"/>
                <w:sz w:val="17"/>
                <w:szCs w:val="17"/>
              </w:rPr>
              <w:t>5,004,430</w:t>
            </w:r>
          </w:p>
        </w:tc>
      </w:tr>
      <w:tr w:rsidR="00F81207" w:rsidRPr="001E79D9" w:rsidTr="00F8120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F81207" w:rsidRPr="00826886" w:rsidRDefault="00F81207" w:rsidP="00F81207">
            <w:pPr>
              <w:rPr>
                <w:rFonts w:ascii="Arial" w:hAnsi="Arial" w:cs="Arial"/>
                <w:sz w:val="17"/>
                <w:szCs w:val="17"/>
              </w:rPr>
            </w:pPr>
            <w:r w:rsidRPr="00826886">
              <w:rPr>
                <w:rFonts w:ascii="Arial" w:hAnsi="Arial" w:cs="Arial"/>
                <w:sz w:val="17"/>
                <w:szCs w:val="17"/>
              </w:rPr>
              <w:t>Ingresos por Venta de Bienes y Servicios</w:t>
            </w:r>
          </w:p>
        </w:tc>
        <w:tc>
          <w:tcPr>
            <w:tcW w:w="2180" w:type="dxa"/>
            <w:tcBorders>
              <w:top w:val="nil"/>
              <w:left w:val="nil"/>
              <w:bottom w:val="single" w:sz="4" w:space="0" w:color="auto"/>
              <w:right w:val="single" w:sz="4" w:space="0" w:color="auto"/>
            </w:tcBorders>
            <w:shd w:val="clear" w:color="auto" w:fill="auto"/>
          </w:tcPr>
          <w:p w:rsidR="00F81207" w:rsidRPr="00A97BFD" w:rsidRDefault="00F81207" w:rsidP="00F81207">
            <w:pPr>
              <w:jc w:val="right"/>
              <w:rPr>
                <w:rFonts w:ascii="Arial" w:hAnsi="Arial" w:cs="Arial"/>
                <w:sz w:val="17"/>
                <w:szCs w:val="17"/>
              </w:rPr>
            </w:pPr>
            <w:r w:rsidRPr="00F81207">
              <w:rPr>
                <w:rFonts w:ascii="Arial" w:hAnsi="Arial" w:cs="Arial"/>
                <w:sz w:val="17"/>
                <w:szCs w:val="17"/>
              </w:rPr>
              <w:t>1,592,087</w:t>
            </w:r>
          </w:p>
        </w:tc>
        <w:tc>
          <w:tcPr>
            <w:tcW w:w="2180" w:type="dxa"/>
            <w:tcBorders>
              <w:top w:val="nil"/>
              <w:left w:val="nil"/>
              <w:bottom w:val="single" w:sz="4" w:space="0" w:color="auto"/>
              <w:right w:val="single" w:sz="4" w:space="0" w:color="auto"/>
            </w:tcBorders>
            <w:shd w:val="clear" w:color="auto" w:fill="auto"/>
          </w:tcPr>
          <w:p w:rsidR="00F81207" w:rsidRPr="00F81207" w:rsidRDefault="00F81207" w:rsidP="00F81207">
            <w:pPr>
              <w:jc w:val="right"/>
              <w:rPr>
                <w:rFonts w:ascii="Arial" w:hAnsi="Arial" w:cs="Arial"/>
                <w:sz w:val="17"/>
                <w:szCs w:val="17"/>
              </w:rPr>
            </w:pPr>
            <w:r w:rsidRPr="00F81207">
              <w:rPr>
                <w:rFonts w:ascii="Arial" w:hAnsi="Arial" w:cs="Arial"/>
                <w:sz w:val="17"/>
                <w:szCs w:val="17"/>
              </w:rPr>
              <w:t>1,663,366</w:t>
            </w:r>
          </w:p>
        </w:tc>
      </w:tr>
      <w:tr w:rsidR="00F81207" w:rsidRPr="002D70DA" w:rsidTr="00F81207">
        <w:trPr>
          <w:trHeight w:val="240"/>
          <w:jc w:val="center"/>
        </w:trPr>
        <w:tc>
          <w:tcPr>
            <w:tcW w:w="4900" w:type="dxa"/>
            <w:tcBorders>
              <w:top w:val="nil"/>
              <w:left w:val="nil"/>
              <w:bottom w:val="nil"/>
              <w:right w:val="nil"/>
            </w:tcBorders>
            <w:shd w:val="clear" w:color="000000" w:fill="FFFFFF"/>
            <w:vAlign w:val="center"/>
            <w:hideMark/>
          </w:tcPr>
          <w:p w:rsidR="00F81207" w:rsidRPr="002D70DA" w:rsidRDefault="00F81207" w:rsidP="00F81207">
            <w:pPr>
              <w:jc w:val="center"/>
              <w:rPr>
                <w:rFonts w:ascii="Arial" w:hAnsi="Arial" w:cs="Arial"/>
                <w:b/>
                <w:bCs/>
                <w:color w:val="000000"/>
                <w:sz w:val="17"/>
                <w:szCs w:val="17"/>
              </w:rPr>
            </w:pPr>
            <w:r>
              <w:rPr>
                <w:rFonts w:ascii="Arial" w:hAnsi="Arial" w:cs="Arial"/>
                <w:b/>
                <w:bCs/>
                <w:color w:val="000000"/>
                <w:sz w:val="17"/>
                <w:szCs w:val="17"/>
              </w:rPr>
              <w:t>Ingresos de Gestión</w:t>
            </w:r>
          </w:p>
        </w:tc>
        <w:tc>
          <w:tcPr>
            <w:tcW w:w="2180" w:type="dxa"/>
            <w:tcBorders>
              <w:top w:val="nil"/>
              <w:left w:val="single" w:sz="4" w:space="0" w:color="auto"/>
              <w:bottom w:val="single" w:sz="4" w:space="0" w:color="auto"/>
              <w:right w:val="single" w:sz="4" w:space="0" w:color="auto"/>
            </w:tcBorders>
            <w:shd w:val="clear" w:color="000000" w:fill="FFFFFF"/>
          </w:tcPr>
          <w:p w:rsidR="00F81207" w:rsidRPr="00A97BFD" w:rsidRDefault="00F81207" w:rsidP="00F81207">
            <w:pPr>
              <w:jc w:val="right"/>
              <w:rPr>
                <w:rFonts w:ascii="Arial" w:hAnsi="Arial" w:cs="Arial"/>
                <w:b/>
                <w:sz w:val="17"/>
                <w:szCs w:val="17"/>
              </w:rPr>
            </w:pPr>
            <w:r w:rsidRPr="00F81207">
              <w:rPr>
                <w:rFonts w:ascii="Arial" w:hAnsi="Arial" w:cs="Arial"/>
                <w:b/>
                <w:sz w:val="17"/>
                <w:szCs w:val="17"/>
              </w:rPr>
              <w:t>3,530,570</w:t>
            </w:r>
          </w:p>
        </w:tc>
        <w:tc>
          <w:tcPr>
            <w:tcW w:w="2180" w:type="dxa"/>
            <w:tcBorders>
              <w:top w:val="single" w:sz="4" w:space="0" w:color="auto"/>
              <w:left w:val="nil"/>
              <w:bottom w:val="single" w:sz="4" w:space="0" w:color="auto"/>
              <w:right w:val="single" w:sz="4" w:space="0" w:color="auto"/>
            </w:tcBorders>
            <w:shd w:val="clear" w:color="000000" w:fill="FFFFFF"/>
            <w:noWrap/>
          </w:tcPr>
          <w:p w:rsidR="00F81207" w:rsidRPr="00F81207" w:rsidRDefault="00F81207" w:rsidP="00F81207">
            <w:pPr>
              <w:jc w:val="right"/>
              <w:rPr>
                <w:rFonts w:ascii="Arial" w:hAnsi="Arial" w:cs="Arial"/>
                <w:b/>
                <w:sz w:val="17"/>
                <w:szCs w:val="17"/>
              </w:rPr>
            </w:pPr>
            <w:r w:rsidRPr="00F81207">
              <w:rPr>
                <w:rFonts w:ascii="Arial" w:hAnsi="Arial" w:cs="Arial"/>
                <w:b/>
                <w:sz w:val="17"/>
                <w:szCs w:val="17"/>
              </w:rPr>
              <w:t>6,667,796</w:t>
            </w:r>
          </w:p>
        </w:tc>
      </w:tr>
    </w:tbl>
    <w:p w:rsidR="00041BED" w:rsidRDefault="00041BED" w:rsidP="00CF338E">
      <w:pPr>
        <w:spacing w:before="80" w:line="250" w:lineRule="exact"/>
        <w:ind w:left="709"/>
        <w:jc w:val="both"/>
        <w:rPr>
          <w:rFonts w:ascii="Arial" w:eastAsia="Calibri" w:hAnsi="Arial" w:cs="Arial"/>
          <w:spacing w:val="-1"/>
          <w:sz w:val="17"/>
          <w:szCs w:val="17"/>
        </w:rPr>
      </w:pPr>
    </w:p>
    <w:p w:rsidR="00752A6C" w:rsidRDefault="00752A6C" w:rsidP="00752A6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Los cuales están distribuido de la siguiente manera:</w:t>
      </w:r>
    </w:p>
    <w:p w:rsidR="00752A6C" w:rsidRPr="002D70DA" w:rsidRDefault="00752A6C" w:rsidP="00752A6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E3E0F" w:rsidRPr="002D70DA" w:rsidTr="00F8120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0F" w:rsidRPr="002D70DA" w:rsidRDefault="003E3E0F"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E3E0F"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E3E0F" w:rsidRPr="002D70DA" w:rsidRDefault="00AE626F"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F81207" w:rsidRPr="002D70DA" w:rsidTr="00F8120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81207" w:rsidRPr="00A97BFD" w:rsidRDefault="00F81207" w:rsidP="00F81207">
            <w:pPr>
              <w:rPr>
                <w:rFonts w:ascii="Arial" w:hAnsi="Arial" w:cs="Arial"/>
                <w:sz w:val="17"/>
                <w:szCs w:val="17"/>
              </w:rPr>
            </w:pPr>
            <w:r w:rsidRPr="00A97BFD">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F81207" w:rsidRPr="00F81207" w:rsidRDefault="00F81207" w:rsidP="00F81207">
            <w:pPr>
              <w:jc w:val="right"/>
              <w:rPr>
                <w:rFonts w:ascii="Arial" w:hAnsi="Arial" w:cs="Arial"/>
                <w:sz w:val="17"/>
                <w:szCs w:val="17"/>
              </w:rPr>
            </w:pPr>
            <w:r w:rsidRPr="00F81207">
              <w:rPr>
                <w:rFonts w:ascii="Arial" w:hAnsi="Arial" w:cs="Arial"/>
                <w:sz w:val="17"/>
                <w:szCs w:val="17"/>
              </w:rPr>
              <w:t xml:space="preserve">1,938,483 </w:t>
            </w:r>
          </w:p>
        </w:tc>
        <w:tc>
          <w:tcPr>
            <w:tcW w:w="2180" w:type="dxa"/>
            <w:tcBorders>
              <w:top w:val="single" w:sz="4" w:space="0" w:color="auto"/>
              <w:left w:val="nil"/>
              <w:bottom w:val="single" w:sz="4" w:space="0" w:color="auto"/>
              <w:right w:val="single" w:sz="4" w:space="0" w:color="auto"/>
            </w:tcBorders>
            <w:shd w:val="clear" w:color="auto" w:fill="auto"/>
          </w:tcPr>
          <w:p w:rsidR="00F81207" w:rsidRPr="00F81207" w:rsidRDefault="00F81207" w:rsidP="00F81207">
            <w:pPr>
              <w:jc w:val="right"/>
              <w:rPr>
                <w:rFonts w:ascii="Arial" w:hAnsi="Arial" w:cs="Arial"/>
                <w:sz w:val="17"/>
                <w:szCs w:val="17"/>
              </w:rPr>
            </w:pPr>
            <w:r w:rsidRPr="00F81207">
              <w:rPr>
                <w:rFonts w:ascii="Arial" w:hAnsi="Arial" w:cs="Arial"/>
                <w:sz w:val="17"/>
                <w:szCs w:val="17"/>
              </w:rPr>
              <w:t xml:space="preserve">5,004,430 </w:t>
            </w:r>
          </w:p>
        </w:tc>
      </w:tr>
      <w:tr w:rsidR="00F81207" w:rsidRPr="002D70DA" w:rsidTr="00F8120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81207" w:rsidRPr="00A97BFD" w:rsidRDefault="00F81207" w:rsidP="00F81207">
            <w:pPr>
              <w:rPr>
                <w:rFonts w:ascii="Arial" w:hAnsi="Arial" w:cs="Arial"/>
                <w:sz w:val="17"/>
                <w:szCs w:val="17"/>
              </w:rPr>
            </w:pPr>
            <w:r w:rsidRPr="00A97BFD">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F81207" w:rsidRPr="00F81207" w:rsidRDefault="00F81207" w:rsidP="00F81207">
            <w:pPr>
              <w:jc w:val="right"/>
              <w:rPr>
                <w:rFonts w:ascii="Arial" w:hAnsi="Arial" w:cs="Arial"/>
                <w:sz w:val="17"/>
                <w:szCs w:val="17"/>
              </w:rPr>
            </w:pPr>
            <w:r w:rsidRPr="00F81207">
              <w:rPr>
                <w:rFonts w:ascii="Arial" w:hAnsi="Arial" w:cs="Arial"/>
                <w:sz w:val="17"/>
                <w:szCs w:val="17"/>
              </w:rPr>
              <w:t xml:space="preserve">1,592,087 </w:t>
            </w:r>
          </w:p>
        </w:tc>
        <w:tc>
          <w:tcPr>
            <w:tcW w:w="2180" w:type="dxa"/>
            <w:tcBorders>
              <w:top w:val="single" w:sz="4" w:space="0" w:color="auto"/>
              <w:left w:val="nil"/>
              <w:bottom w:val="single" w:sz="4" w:space="0" w:color="auto"/>
              <w:right w:val="single" w:sz="4" w:space="0" w:color="auto"/>
            </w:tcBorders>
            <w:shd w:val="clear" w:color="auto" w:fill="auto"/>
          </w:tcPr>
          <w:p w:rsidR="00F81207" w:rsidRPr="00F81207" w:rsidRDefault="00F81207" w:rsidP="00F81207">
            <w:pPr>
              <w:jc w:val="right"/>
              <w:rPr>
                <w:rFonts w:ascii="Arial" w:hAnsi="Arial" w:cs="Arial"/>
                <w:sz w:val="17"/>
                <w:szCs w:val="17"/>
              </w:rPr>
            </w:pPr>
            <w:r w:rsidRPr="00F81207">
              <w:rPr>
                <w:rFonts w:ascii="Arial" w:hAnsi="Arial" w:cs="Arial"/>
                <w:sz w:val="17"/>
                <w:szCs w:val="17"/>
              </w:rPr>
              <w:t xml:space="preserve">1,663,366 </w:t>
            </w:r>
          </w:p>
        </w:tc>
      </w:tr>
      <w:tr w:rsidR="00F81207" w:rsidRPr="002D70DA" w:rsidTr="00F81207">
        <w:trPr>
          <w:trHeight w:val="240"/>
          <w:jc w:val="center"/>
        </w:trPr>
        <w:tc>
          <w:tcPr>
            <w:tcW w:w="4900" w:type="dxa"/>
            <w:tcBorders>
              <w:top w:val="nil"/>
              <w:left w:val="nil"/>
              <w:bottom w:val="nil"/>
              <w:right w:val="single" w:sz="4" w:space="0" w:color="auto"/>
            </w:tcBorders>
            <w:shd w:val="clear" w:color="000000" w:fill="FFFFFF"/>
            <w:vAlign w:val="center"/>
            <w:hideMark/>
          </w:tcPr>
          <w:p w:rsidR="00F81207" w:rsidRPr="002D70DA" w:rsidRDefault="00F81207" w:rsidP="00F8120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81207" w:rsidRPr="00A97BFD" w:rsidRDefault="00F81207" w:rsidP="00F81207">
            <w:pPr>
              <w:jc w:val="right"/>
              <w:rPr>
                <w:rFonts w:ascii="Arial" w:hAnsi="Arial" w:cs="Arial"/>
                <w:b/>
                <w:sz w:val="17"/>
                <w:szCs w:val="17"/>
              </w:rPr>
            </w:pPr>
            <w:r w:rsidRPr="00F81207">
              <w:rPr>
                <w:rFonts w:ascii="Arial" w:hAnsi="Arial" w:cs="Arial"/>
                <w:b/>
                <w:sz w:val="17"/>
                <w:szCs w:val="17"/>
              </w:rPr>
              <w:t>3,530,570</w:t>
            </w:r>
          </w:p>
        </w:tc>
        <w:tc>
          <w:tcPr>
            <w:tcW w:w="2180" w:type="dxa"/>
            <w:tcBorders>
              <w:top w:val="nil"/>
              <w:left w:val="single" w:sz="4" w:space="0" w:color="auto"/>
              <w:bottom w:val="single" w:sz="4" w:space="0" w:color="auto"/>
              <w:right w:val="single" w:sz="4" w:space="0" w:color="auto"/>
            </w:tcBorders>
            <w:shd w:val="clear" w:color="000000" w:fill="FFFFFF"/>
          </w:tcPr>
          <w:p w:rsidR="00F81207" w:rsidRPr="00F81207" w:rsidRDefault="00F81207" w:rsidP="00F81207">
            <w:pPr>
              <w:jc w:val="right"/>
              <w:rPr>
                <w:rFonts w:ascii="Arial" w:hAnsi="Arial" w:cs="Arial"/>
                <w:b/>
                <w:sz w:val="17"/>
                <w:szCs w:val="17"/>
              </w:rPr>
            </w:pPr>
            <w:r w:rsidRPr="00F81207">
              <w:rPr>
                <w:rFonts w:ascii="Arial" w:hAnsi="Arial" w:cs="Arial"/>
                <w:b/>
                <w:sz w:val="17"/>
                <w:szCs w:val="17"/>
              </w:rPr>
              <w:t xml:space="preserve">6,667,796 </w:t>
            </w:r>
          </w:p>
        </w:tc>
      </w:tr>
    </w:tbl>
    <w:p w:rsidR="00F87E9E" w:rsidRDefault="00F87E9E">
      <w:pPr>
        <w:rPr>
          <w:rFonts w:ascii="Arial" w:eastAsia="Calibri" w:hAnsi="Arial" w:cs="Arial"/>
          <w:spacing w:val="-1"/>
          <w:sz w:val="17"/>
          <w:szCs w:val="17"/>
        </w:rPr>
      </w:pPr>
    </w:p>
    <w:p w:rsidR="003E3E0F" w:rsidRDefault="003E3E0F">
      <w:pPr>
        <w:rPr>
          <w:rFonts w:ascii="Arial" w:eastAsia="Calibri" w:hAnsi="Arial" w:cs="Arial"/>
          <w:spacing w:val="-1"/>
          <w:sz w:val="17"/>
          <w:szCs w:val="17"/>
        </w:rPr>
      </w:pPr>
    </w:p>
    <w:p w:rsidR="005502D4" w:rsidRPr="002D70DA" w:rsidRDefault="005502D4" w:rsidP="005502D4">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w:t>
      </w:r>
      <w:r w:rsidR="003A2688" w:rsidRPr="003A2688">
        <w:rPr>
          <w:rFonts w:ascii="Arial" w:eastAsia="Calibri" w:hAnsi="Arial" w:cs="Arial"/>
          <w:spacing w:val="-1"/>
          <w:sz w:val="17"/>
          <w:szCs w:val="17"/>
        </w:rPr>
        <w:t>Participaciones, Aportaciones, Convenios, Incentivos Derivados de la Colaboración Fiscal y Fondos Distintos de Aportaciones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w:t>
      </w:r>
      <w:r w:rsidR="005571BF">
        <w:rPr>
          <w:rFonts w:ascii="Arial" w:eastAsia="Calibri" w:hAnsi="Arial" w:cs="Arial"/>
          <w:spacing w:val="-1"/>
          <w:sz w:val="17"/>
          <w:szCs w:val="17"/>
        </w:rPr>
        <w:t xml:space="preserve">que el saldo </w:t>
      </w:r>
      <w:r>
        <w:rPr>
          <w:rFonts w:ascii="Arial" w:eastAsia="Calibri" w:hAnsi="Arial" w:cs="Arial"/>
          <w:spacing w:val="-1"/>
          <w:sz w:val="17"/>
          <w:szCs w:val="17"/>
        </w:rPr>
        <w:t xml:space="preserve">al 31 de diciembre del </w:t>
      </w:r>
      <w:r w:rsidR="00AE626F">
        <w:rPr>
          <w:rFonts w:ascii="Arial" w:eastAsia="Calibri" w:hAnsi="Arial" w:cs="Arial"/>
          <w:spacing w:val="-1"/>
          <w:sz w:val="17"/>
          <w:szCs w:val="17"/>
        </w:rPr>
        <w:t>2020</w:t>
      </w:r>
      <w:r w:rsidR="005571BF">
        <w:rPr>
          <w:rFonts w:ascii="Arial" w:eastAsia="Calibri" w:hAnsi="Arial" w:cs="Arial"/>
          <w:spacing w:val="-1"/>
          <w:sz w:val="17"/>
          <w:szCs w:val="17"/>
        </w:rPr>
        <w:t xml:space="preserve"> es</w:t>
      </w:r>
      <w:r w:rsidR="00F87E9E">
        <w:rPr>
          <w:rFonts w:ascii="Arial" w:eastAsia="Calibri" w:hAnsi="Arial" w:cs="Arial"/>
          <w:spacing w:val="-1"/>
          <w:sz w:val="17"/>
          <w:szCs w:val="17"/>
        </w:rPr>
        <w:t>:</w:t>
      </w:r>
    </w:p>
    <w:p w:rsidR="00F87E9E" w:rsidRDefault="00F87E9E" w:rsidP="00F87E9E">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F87E9E" w:rsidRPr="002D70DA" w:rsidTr="00D01786">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7E9E" w:rsidRPr="002D70DA" w:rsidRDefault="00F87E9E"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F87E9E" w:rsidRPr="002D70DA" w:rsidRDefault="00AE626F"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7E9E" w:rsidRPr="002D70DA" w:rsidRDefault="00AE626F"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DE1008" w:rsidRPr="00D01786" w:rsidTr="00D01786">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DE1008" w:rsidRPr="00E2754C" w:rsidRDefault="00DE1008" w:rsidP="00DE1008">
            <w:pPr>
              <w:rPr>
                <w:rFonts w:ascii="Arial" w:hAnsi="Arial" w:cs="Arial"/>
                <w:sz w:val="17"/>
                <w:szCs w:val="17"/>
              </w:rPr>
            </w:pPr>
            <w:r w:rsidRPr="00D01786">
              <w:rPr>
                <w:rFonts w:ascii="Arial" w:hAnsi="Arial" w:cs="Arial"/>
                <w:sz w:val="17"/>
                <w:szCs w:val="17"/>
              </w:rPr>
              <w:t>Aportaciones</w:t>
            </w:r>
          </w:p>
        </w:tc>
        <w:tc>
          <w:tcPr>
            <w:tcW w:w="2091" w:type="dxa"/>
            <w:tcBorders>
              <w:top w:val="single" w:sz="4" w:space="0" w:color="auto"/>
              <w:left w:val="nil"/>
              <w:bottom w:val="single" w:sz="4" w:space="0" w:color="auto"/>
              <w:right w:val="single" w:sz="4" w:space="0" w:color="auto"/>
            </w:tcBorders>
            <w:shd w:val="clear" w:color="auto" w:fill="auto"/>
          </w:tcPr>
          <w:p w:rsidR="00DE1008" w:rsidRPr="00511959" w:rsidRDefault="00DE1008" w:rsidP="00DE1008">
            <w:pPr>
              <w:jc w:val="right"/>
              <w:rPr>
                <w:rFonts w:ascii="Arial" w:hAnsi="Arial" w:cs="Arial"/>
                <w:sz w:val="17"/>
                <w:szCs w:val="17"/>
              </w:rPr>
            </w:pPr>
            <w:r>
              <w:rPr>
                <w:rFonts w:ascii="Arial" w:hAnsi="Arial" w:cs="Arial"/>
                <w:sz w:val="17"/>
                <w:szCs w:val="17"/>
              </w:rPr>
              <w:t>0</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DE1008" w:rsidRPr="00DE1008" w:rsidRDefault="00DE1008" w:rsidP="00DE1008">
            <w:pPr>
              <w:jc w:val="right"/>
              <w:rPr>
                <w:rFonts w:ascii="Arial" w:hAnsi="Arial" w:cs="Arial"/>
                <w:sz w:val="17"/>
                <w:szCs w:val="17"/>
              </w:rPr>
            </w:pPr>
            <w:r w:rsidRPr="00DE1008">
              <w:rPr>
                <w:rFonts w:ascii="Arial" w:hAnsi="Arial" w:cs="Arial"/>
                <w:sz w:val="17"/>
                <w:szCs w:val="17"/>
              </w:rPr>
              <w:t>0</w:t>
            </w:r>
          </w:p>
        </w:tc>
      </w:tr>
      <w:tr w:rsidR="00DE1008" w:rsidRPr="002D70DA" w:rsidTr="00D01786">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DE1008" w:rsidRPr="00D01786" w:rsidRDefault="00DE1008" w:rsidP="00DE1008">
            <w:pPr>
              <w:rPr>
                <w:rFonts w:ascii="Arial" w:hAnsi="Arial" w:cs="Arial"/>
                <w:sz w:val="17"/>
                <w:szCs w:val="17"/>
              </w:rPr>
            </w:pPr>
            <w:r w:rsidRPr="00D01786">
              <w:rPr>
                <w:rFonts w:ascii="Arial" w:hAnsi="Arial" w:cs="Arial"/>
                <w:sz w:val="17"/>
                <w:szCs w:val="17"/>
              </w:rPr>
              <w:t>Transferencias y Asignaciones</w:t>
            </w:r>
          </w:p>
        </w:tc>
        <w:tc>
          <w:tcPr>
            <w:tcW w:w="2091" w:type="dxa"/>
            <w:tcBorders>
              <w:top w:val="single" w:sz="4" w:space="0" w:color="auto"/>
              <w:left w:val="nil"/>
              <w:bottom w:val="single" w:sz="4" w:space="0" w:color="auto"/>
              <w:right w:val="single" w:sz="4" w:space="0" w:color="auto"/>
            </w:tcBorders>
            <w:shd w:val="clear" w:color="auto" w:fill="auto"/>
          </w:tcPr>
          <w:p w:rsidR="00DE1008" w:rsidRPr="00511959" w:rsidRDefault="00DE1008" w:rsidP="00DE1008">
            <w:pPr>
              <w:jc w:val="right"/>
              <w:rPr>
                <w:rFonts w:ascii="Arial" w:hAnsi="Arial" w:cs="Arial"/>
                <w:sz w:val="17"/>
                <w:szCs w:val="17"/>
              </w:rPr>
            </w:pPr>
            <w:r>
              <w:rPr>
                <w:rFonts w:ascii="Arial" w:hAnsi="Arial" w:cs="Arial"/>
                <w:sz w:val="17"/>
                <w:szCs w:val="17"/>
              </w:rPr>
              <w:t>0</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DE1008" w:rsidRPr="00DE1008" w:rsidRDefault="00DE1008" w:rsidP="00DE1008">
            <w:pPr>
              <w:jc w:val="right"/>
              <w:rPr>
                <w:rFonts w:ascii="Arial" w:hAnsi="Arial" w:cs="Arial"/>
                <w:sz w:val="17"/>
                <w:szCs w:val="17"/>
              </w:rPr>
            </w:pPr>
            <w:r w:rsidRPr="00DE1008">
              <w:rPr>
                <w:rFonts w:ascii="Arial" w:hAnsi="Arial" w:cs="Arial"/>
                <w:sz w:val="17"/>
                <w:szCs w:val="17"/>
              </w:rPr>
              <w:t>1,259,026</w:t>
            </w:r>
          </w:p>
        </w:tc>
      </w:tr>
    </w:tbl>
    <w:p w:rsidR="00F15CC6" w:rsidRDefault="00F15CC6" w:rsidP="00F87E9E">
      <w:pPr>
        <w:autoSpaceDE w:val="0"/>
        <w:autoSpaceDN w:val="0"/>
        <w:adjustRightInd w:val="0"/>
        <w:spacing w:before="240" w:after="120"/>
        <w:ind w:left="709"/>
        <w:rPr>
          <w:rFonts w:ascii="Arial" w:eastAsia="Calibri" w:hAnsi="Arial" w:cs="Arial"/>
          <w:spacing w:val="-1"/>
          <w:sz w:val="17"/>
          <w:szCs w:val="17"/>
        </w:rPr>
      </w:pPr>
    </w:p>
    <w:p w:rsidR="00D01786" w:rsidRDefault="00D01786">
      <w:pPr>
        <w:rPr>
          <w:rFonts w:ascii="Arial" w:eastAsia="Calibri" w:hAnsi="Arial" w:cs="Arial"/>
          <w:b/>
          <w:spacing w:val="-1"/>
          <w:sz w:val="17"/>
          <w:szCs w:val="17"/>
        </w:rPr>
      </w:pPr>
      <w:r>
        <w:rPr>
          <w:rFonts w:ascii="Arial" w:eastAsia="Calibri" w:hAnsi="Arial" w:cs="Arial"/>
          <w:b/>
          <w:spacing w:val="-1"/>
          <w:sz w:val="17"/>
          <w:szCs w:val="17"/>
        </w:rPr>
        <w:br w:type="page"/>
      </w:r>
    </w:p>
    <w:p w:rsidR="00D01786" w:rsidRDefault="00D01786" w:rsidP="00D0178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Los cuales están distribuido de la siguiente manera:</w:t>
      </w:r>
    </w:p>
    <w:p w:rsidR="00D01786" w:rsidRPr="002D70DA" w:rsidRDefault="00D01786" w:rsidP="00D0178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D01786" w:rsidRPr="002D70DA" w:rsidTr="00DE10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01786" w:rsidRPr="002D70DA" w:rsidRDefault="00D01786" w:rsidP="00AE626F">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01786" w:rsidRPr="002D70DA" w:rsidRDefault="00AE626F" w:rsidP="00AE626F">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01786" w:rsidRPr="002D70DA" w:rsidRDefault="00AE626F" w:rsidP="00AE626F">
            <w:pPr>
              <w:jc w:val="center"/>
              <w:rPr>
                <w:rFonts w:ascii="Arial" w:hAnsi="Arial" w:cs="Arial"/>
                <w:b/>
                <w:bCs/>
                <w:color w:val="000000"/>
                <w:sz w:val="17"/>
                <w:szCs w:val="17"/>
              </w:rPr>
            </w:pPr>
            <w:r>
              <w:rPr>
                <w:rFonts w:ascii="Arial" w:hAnsi="Arial" w:cs="Arial"/>
                <w:b/>
                <w:bCs/>
                <w:color w:val="000000"/>
                <w:sz w:val="17"/>
                <w:szCs w:val="17"/>
              </w:rPr>
              <w:t>2019</w:t>
            </w:r>
          </w:p>
        </w:tc>
      </w:tr>
      <w:tr w:rsidR="00DE1008" w:rsidRPr="002D70DA" w:rsidTr="00DE10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1008" w:rsidRPr="00A97BFD" w:rsidRDefault="00DE1008" w:rsidP="00DE1008">
            <w:pPr>
              <w:rPr>
                <w:rFonts w:ascii="Arial" w:hAnsi="Arial" w:cs="Arial"/>
                <w:sz w:val="17"/>
                <w:szCs w:val="17"/>
              </w:rPr>
            </w:pPr>
            <w:r w:rsidRPr="00A97BFD">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DE1008" w:rsidRPr="00D01786" w:rsidRDefault="00DE1008" w:rsidP="00DE1008">
            <w:pPr>
              <w:jc w:val="right"/>
              <w:rPr>
                <w:rFonts w:ascii="Arial" w:hAnsi="Arial" w:cs="Arial"/>
                <w:sz w:val="17"/>
                <w:szCs w:val="17"/>
              </w:rPr>
            </w:pPr>
            <w:r>
              <w:rPr>
                <w:rFonts w:ascii="Arial" w:hAnsi="Arial" w:cs="Arial"/>
                <w:sz w:val="17"/>
                <w:szCs w:val="17"/>
              </w:rPr>
              <w:t>0</w:t>
            </w:r>
            <w:r w:rsidRPr="00D01786">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DE1008" w:rsidRPr="00DE1008" w:rsidRDefault="00DE1008" w:rsidP="00DE1008">
            <w:pPr>
              <w:jc w:val="right"/>
              <w:rPr>
                <w:rFonts w:ascii="Arial" w:hAnsi="Arial" w:cs="Arial"/>
                <w:sz w:val="17"/>
                <w:szCs w:val="17"/>
              </w:rPr>
            </w:pPr>
            <w:r w:rsidRPr="00DE1008">
              <w:rPr>
                <w:rFonts w:ascii="Arial" w:hAnsi="Arial" w:cs="Arial"/>
                <w:sz w:val="17"/>
                <w:szCs w:val="17"/>
              </w:rPr>
              <w:t xml:space="preserve">54,442 </w:t>
            </w:r>
          </w:p>
        </w:tc>
      </w:tr>
      <w:tr w:rsidR="00DE1008" w:rsidRPr="002D70DA" w:rsidTr="00DE10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1008" w:rsidRPr="00A97BFD" w:rsidRDefault="00DE1008" w:rsidP="00DE1008">
            <w:pPr>
              <w:rPr>
                <w:rFonts w:ascii="Arial" w:hAnsi="Arial" w:cs="Arial"/>
                <w:sz w:val="17"/>
                <w:szCs w:val="17"/>
              </w:rPr>
            </w:pPr>
            <w:r w:rsidRPr="00A97BFD">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DE1008" w:rsidRPr="00D01786" w:rsidRDefault="00DE1008" w:rsidP="00DE1008">
            <w:pPr>
              <w:jc w:val="right"/>
              <w:rPr>
                <w:rFonts w:ascii="Arial" w:hAnsi="Arial" w:cs="Arial"/>
                <w:sz w:val="17"/>
                <w:szCs w:val="17"/>
              </w:rPr>
            </w:pPr>
            <w:r>
              <w:rPr>
                <w:rFonts w:ascii="Arial" w:hAnsi="Arial" w:cs="Arial"/>
                <w:sz w:val="17"/>
                <w:szCs w:val="17"/>
              </w:rPr>
              <w:t>0</w:t>
            </w:r>
            <w:r w:rsidRPr="00D01786">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DE1008" w:rsidRPr="00DE1008" w:rsidRDefault="00DE1008" w:rsidP="00DE1008">
            <w:pPr>
              <w:jc w:val="right"/>
              <w:rPr>
                <w:rFonts w:ascii="Arial" w:hAnsi="Arial" w:cs="Arial"/>
                <w:sz w:val="17"/>
                <w:szCs w:val="17"/>
              </w:rPr>
            </w:pPr>
            <w:r w:rsidRPr="00DE1008">
              <w:rPr>
                <w:rFonts w:ascii="Arial" w:hAnsi="Arial" w:cs="Arial"/>
                <w:sz w:val="17"/>
                <w:szCs w:val="17"/>
              </w:rPr>
              <w:t xml:space="preserve">1,204,584 </w:t>
            </w:r>
          </w:p>
        </w:tc>
      </w:tr>
      <w:tr w:rsidR="00DE1008" w:rsidRPr="002D70DA" w:rsidTr="00DE1008">
        <w:trPr>
          <w:trHeight w:val="240"/>
          <w:jc w:val="center"/>
        </w:trPr>
        <w:tc>
          <w:tcPr>
            <w:tcW w:w="4900" w:type="dxa"/>
            <w:tcBorders>
              <w:top w:val="nil"/>
              <w:left w:val="nil"/>
              <w:bottom w:val="nil"/>
              <w:right w:val="single" w:sz="4" w:space="0" w:color="auto"/>
            </w:tcBorders>
            <w:shd w:val="clear" w:color="000000" w:fill="FFFFFF"/>
            <w:vAlign w:val="center"/>
            <w:hideMark/>
          </w:tcPr>
          <w:p w:rsidR="00DE1008" w:rsidRPr="002D70DA" w:rsidRDefault="00DE1008" w:rsidP="00DE1008">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E1008" w:rsidRPr="00D01786" w:rsidRDefault="00DE1008" w:rsidP="00DE1008">
            <w:pPr>
              <w:jc w:val="right"/>
              <w:rPr>
                <w:rFonts w:ascii="Arial" w:hAnsi="Arial" w:cs="Arial"/>
                <w:b/>
                <w:sz w:val="17"/>
                <w:szCs w:val="17"/>
              </w:rPr>
            </w:pPr>
            <w:r>
              <w:rPr>
                <w:rFonts w:ascii="Arial" w:hAnsi="Arial" w:cs="Arial"/>
                <w:b/>
                <w:sz w:val="17"/>
                <w:szCs w:val="17"/>
              </w:rPr>
              <w:t>0</w:t>
            </w:r>
            <w:r w:rsidRPr="00D01786">
              <w:rPr>
                <w:rFonts w:ascii="Arial" w:hAnsi="Arial" w:cs="Arial"/>
                <w:b/>
                <w:sz w:val="17"/>
                <w:szCs w:val="17"/>
              </w:rPr>
              <w:t xml:space="preserve"> </w:t>
            </w:r>
          </w:p>
        </w:tc>
        <w:tc>
          <w:tcPr>
            <w:tcW w:w="2180" w:type="dxa"/>
            <w:tcBorders>
              <w:top w:val="nil"/>
              <w:left w:val="single" w:sz="4" w:space="0" w:color="auto"/>
              <w:bottom w:val="single" w:sz="4" w:space="0" w:color="auto"/>
              <w:right w:val="single" w:sz="4" w:space="0" w:color="auto"/>
            </w:tcBorders>
            <w:shd w:val="clear" w:color="000000" w:fill="FFFFFF"/>
          </w:tcPr>
          <w:p w:rsidR="00DE1008" w:rsidRPr="00DE1008" w:rsidRDefault="00DE1008" w:rsidP="00DE1008">
            <w:pPr>
              <w:jc w:val="right"/>
              <w:rPr>
                <w:rFonts w:ascii="Arial" w:hAnsi="Arial" w:cs="Arial"/>
                <w:sz w:val="17"/>
                <w:szCs w:val="17"/>
              </w:rPr>
            </w:pPr>
            <w:r w:rsidRPr="00DE1008">
              <w:rPr>
                <w:rFonts w:ascii="Arial" w:hAnsi="Arial" w:cs="Arial"/>
                <w:b/>
                <w:sz w:val="17"/>
                <w:szCs w:val="17"/>
              </w:rPr>
              <w:t>1,259,026</w:t>
            </w:r>
            <w:r w:rsidRPr="00DE1008">
              <w:rPr>
                <w:rFonts w:ascii="Arial" w:hAnsi="Arial" w:cs="Arial"/>
                <w:sz w:val="17"/>
                <w:szCs w:val="17"/>
              </w:rPr>
              <w:t xml:space="preserve"> </w:t>
            </w:r>
          </w:p>
        </w:tc>
      </w:tr>
    </w:tbl>
    <w:p w:rsidR="003A0AB6" w:rsidRDefault="003A0AB6">
      <w:pPr>
        <w:rPr>
          <w:rFonts w:ascii="Arial" w:eastAsia="Calibri" w:hAnsi="Arial" w:cs="Arial"/>
          <w:b/>
          <w:spacing w:val="-1"/>
          <w:sz w:val="17"/>
          <w:szCs w:val="17"/>
        </w:rPr>
      </w:pPr>
    </w:p>
    <w:p w:rsidR="00D01786" w:rsidRDefault="00D01786">
      <w:pPr>
        <w:rPr>
          <w:rFonts w:ascii="Arial" w:eastAsia="Calibri" w:hAnsi="Arial" w:cs="Arial"/>
          <w:b/>
          <w:spacing w:val="-1"/>
          <w:sz w:val="17"/>
          <w:szCs w:val="17"/>
        </w:rPr>
      </w:pPr>
    </w:p>
    <w:p w:rsidR="00577A8F" w:rsidRPr="00431A7F" w:rsidRDefault="00577A8F" w:rsidP="00795E45">
      <w:pPr>
        <w:pStyle w:val="Prrafodelista"/>
        <w:numPr>
          <w:ilvl w:val="0"/>
          <w:numId w:val="11"/>
        </w:numPr>
        <w:spacing w:before="80" w:line="250" w:lineRule="exact"/>
        <w:jc w:val="both"/>
        <w:rPr>
          <w:rFonts w:ascii="Arial" w:eastAsia="Calibri" w:hAnsi="Arial" w:cs="Arial"/>
          <w:b/>
          <w:spacing w:val="-1"/>
          <w:sz w:val="17"/>
          <w:szCs w:val="17"/>
        </w:rPr>
      </w:pPr>
      <w:r w:rsidRPr="00431A7F">
        <w:rPr>
          <w:rFonts w:ascii="Arial" w:eastAsia="Calibri" w:hAnsi="Arial" w:cs="Arial"/>
          <w:b/>
          <w:spacing w:val="-1"/>
          <w:sz w:val="17"/>
          <w:szCs w:val="17"/>
        </w:rPr>
        <w:t>Otros Ingresos y Beneficios</w:t>
      </w: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sidRPr="00080796">
        <w:rPr>
          <w:rFonts w:ascii="Arial" w:eastAsia="Calibri" w:hAnsi="Arial" w:cs="Arial"/>
          <w:spacing w:val="-1"/>
          <w:sz w:val="17"/>
          <w:szCs w:val="17"/>
        </w:rPr>
        <w:t>Del</w:t>
      </w:r>
      <w:r>
        <w:rPr>
          <w:rFonts w:ascii="Arial" w:eastAsia="Calibri" w:hAnsi="Arial" w:cs="Arial"/>
          <w:spacing w:val="-1"/>
          <w:sz w:val="17"/>
          <w:szCs w:val="17"/>
        </w:rPr>
        <w:t xml:space="preserve"> </w:t>
      </w:r>
      <w:r w:rsidRPr="00080796">
        <w:rPr>
          <w:rFonts w:ascii="Arial" w:eastAsia="Calibri" w:hAnsi="Arial" w:cs="Arial"/>
          <w:spacing w:val="-1"/>
          <w:sz w:val="17"/>
          <w:szCs w:val="17"/>
        </w:rPr>
        <w:t xml:space="preserve">rubro de </w:t>
      </w:r>
      <w:r w:rsidR="007D4616">
        <w:rPr>
          <w:rFonts w:ascii="Arial" w:eastAsia="Calibri" w:hAnsi="Arial" w:cs="Arial"/>
          <w:spacing w:val="-1"/>
          <w:sz w:val="17"/>
          <w:szCs w:val="17"/>
        </w:rPr>
        <w:t>Ingresos Financieros</w:t>
      </w:r>
      <w:r w:rsidRPr="00080796">
        <w:rPr>
          <w:rFonts w:ascii="Arial" w:eastAsia="Calibri" w:hAnsi="Arial" w:cs="Arial"/>
          <w:spacing w:val="-1"/>
          <w:sz w:val="17"/>
          <w:szCs w:val="17"/>
        </w:rPr>
        <w:t xml:space="preserve"> se informa que el saldo al 31 de diciembre del </w:t>
      </w:r>
      <w:r w:rsidR="00AE626F">
        <w:rPr>
          <w:rFonts w:ascii="Arial" w:eastAsia="Calibri" w:hAnsi="Arial" w:cs="Arial"/>
          <w:spacing w:val="-1"/>
          <w:sz w:val="17"/>
          <w:szCs w:val="17"/>
        </w:rPr>
        <w:t>2020</w:t>
      </w:r>
      <w:r w:rsidRPr="00080796">
        <w:rPr>
          <w:rFonts w:ascii="Arial" w:eastAsia="Calibri" w:hAnsi="Arial" w:cs="Arial"/>
          <w:spacing w:val="-1"/>
          <w:sz w:val="17"/>
          <w:szCs w:val="17"/>
        </w:rPr>
        <w:t xml:space="preserve"> es de</w:t>
      </w:r>
      <w:r>
        <w:rPr>
          <w:rFonts w:ascii="Arial" w:eastAsia="Calibri" w:hAnsi="Arial" w:cs="Arial"/>
          <w:spacing w:val="-1"/>
          <w:sz w:val="17"/>
          <w:szCs w:val="17"/>
        </w:rPr>
        <w:t>:</w:t>
      </w:r>
    </w:p>
    <w:p w:rsidR="00B4359F" w:rsidRDefault="00B4359F" w:rsidP="00B4359F">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B4359F" w:rsidRPr="002D70DA" w:rsidTr="00F31279">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B4359F"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B4359F" w:rsidRPr="002D70DA" w:rsidRDefault="00AE626F"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AE626F"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F31279" w:rsidRPr="002D70DA" w:rsidTr="00F31279">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F31279" w:rsidRPr="0055148B" w:rsidRDefault="00F31279" w:rsidP="00F31279">
            <w:pPr>
              <w:rPr>
                <w:rFonts w:ascii="Arial" w:hAnsi="Arial" w:cs="Arial"/>
                <w:sz w:val="17"/>
                <w:szCs w:val="17"/>
              </w:rPr>
            </w:pPr>
            <w:r w:rsidRPr="0055148B">
              <w:rPr>
                <w:rFonts w:ascii="Arial" w:hAnsi="Arial" w:cs="Arial"/>
                <w:sz w:val="17"/>
                <w:szCs w:val="17"/>
              </w:rPr>
              <w:t xml:space="preserve">Ingresos Financieros  </w:t>
            </w:r>
          </w:p>
        </w:tc>
        <w:tc>
          <w:tcPr>
            <w:tcW w:w="2091" w:type="dxa"/>
            <w:tcBorders>
              <w:top w:val="single" w:sz="4" w:space="0" w:color="auto"/>
              <w:left w:val="nil"/>
              <w:bottom w:val="single" w:sz="4" w:space="0" w:color="auto"/>
              <w:right w:val="single" w:sz="4" w:space="0" w:color="auto"/>
            </w:tcBorders>
            <w:shd w:val="clear" w:color="auto" w:fill="auto"/>
          </w:tcPr>
          <w:p w:rsidR="00F31279" w:rsidRPr="00CE54F8" w:rsidRDefault="00F31279" w:rsidP="00F31279">
            <w:pPr>
              <w:jc w:val="right"/>
              <w:rPr>
                <w:rFonts w:ascii="Arial" w:hAnsi="Arial" w:cs="Arial"/>
                <w:sz w:val="17"/>
                <w:szCs w:val="17"/>
              </w:rPr>
            </w:pPr>
            <w:r w:rsidRPr="00F31279">
              <w:rPr>
                <w:rFonts w:ascii="Arial" w:hAnsi="Arial" w:cs="Arial"/>
                <w:sz w:val="17"/>
                <w:szCs w:val="17"/>
              </w:rPr>
              <w:t>972,226</w:t>
            </w:r>
          </w:p>
        </w:tc>
        <w:tc>
          <w:tcPr>
            <w:tcW w:w="2148" w:type="dxa"/>
            <w:tcBorders>
              <w:top w:val="nil"/>
              <w:left w:val="single" w:sz="4" w:space="0" w:color="auto"/>
              <w:bottom w:val="single" w:sz="4" w:space="0" w:color="auto"/>
              <w:right w:val="single" w:sz="4" w:space="0" w:color="auto"/>
            </w:tcBorders>
            <w:shd w:val="clear" w:color="auto" w:fill="auto"/>
          </w:tcPr>
          <w:p w:rsidR="00F31279" w:rsidRPr="00F31279" w:rsidRDefault="00F31279" w:rsidP="00F31279">
            <w:pPr>
              <w:jc w:val="right"/>
              <w:rPr>
                <w:rFonts w:ascii="Arial" w:hAnsi="Arial" w:cs="Arial"/>
                <w:sz w:val="17"/>
                <w:szCs w:val="17"/>
              </w:rPr>
            </w:pPr>
            <w:r w:rsidRPr="00F31279">
              <w:rPr>
                <w:rFonts w:ascii="Arial" w:hAnsi="Arial" w:cs="Arial"/>
                <w:sz w:val="17"/>
                <w:szCs w:val="17"/>
              </w:rPr>
              <w:t>981,486</w:t>
            </w:r>
          </w:p>
        </w:tc>
      </w:tr>
      <w:tr w:rsidR="00F31279" w:rsidRPr="002D70DA" w:rsidTr="00F31279">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F31279" w:rsidRPr="0055148B" w:rsidRDefault="00F31279" w:rsidP="00F31279">
            <w:pPr>
              <w:rPr>
                <w:rFonts w:ascii="Arial" w:hAnsi="Arial" w:cs="Arial"/>
                <w:sz w:val="17"/>
                <w:szCs w:val="17"/>
              </w:rPr>
            </w:pPr>
            <w:r w:rsidRPr="0055148B">
              <w:rPr>
                <w:rFonts w:ascii="Arial" w:hAnsi="Arial" w:cs="Arial"/>
                <w:sz w:val="17"/>
                <w:szCs w:val="17"/>
              </w:rPr>
              <w:t>Otros Ingresos y Beneficios Varios</w:t>
            </w:r>
          </w:p>
        </w:tc>
        <w:tc>
          <w:tcPr>
            <w:tcW w:w="2091" w:type="dxa"/>
            <w:tcBorders>
              <w:top w:val="single" w:sz="4" w:space="0" w:color="auto"/>
              <w:left w:val="nil"/>
              <w:bottom w:val="single" w:sz="4" w:space="0" w:color="auto"/>
              <w:right w:val="single" w:sz="4" w:space="0" w:color="auto"/>
            </w:tcBorders>
            <w:shd w:val="clear" w:color="auto" w:fill="auto"/>
          </w:tcPr>
          <w:p w:rsidR="00F31279" w:rsidRPr="00CE54F8" w:rsidRDefault="00F31279" w:rsidP="00F31279">
            <w:pPr>
              <w:jc w:val="right"/>
              <w:rPr>
                <w:rFonts w:ascii="Arial" w:hAnsi="Arial" w:cs="Arial"/>
                <w:sz w:val="17"/>
                <w:szCs w:val="17"/>
              </w:rPr>
            </w:pPr>
            <w:r w:rsidRPr="00F31279">
              <w:rPr>
                <w:rFonts w:ascii="Arial" w:hAnsi="Arial" w:cs="Arial"/>
                <w:sz w:val="17"/>
                <w:szCs w:val="17"/>
              </w:rPr>
              <w:t>17,586,740</w:t>
            </w:r>
          </w:p>
        </w:tc>
        <w:tc>
          <w:tcPr>
            <w:tcW w:w="2148" w:type="dxa"/>
            <w:tcBorders>
              <w:top w:val="nil"/>
              <w:left w:val="single" w:sz="4" w:space="0" w:color="auto"/>
              <w:bottom w:val="single" w:sz="4" w:space="0" w:color="auto"/>
              <w:right w:val="single" w:sz="4" w:space="0" w:color="auto"/>
            </w:tcBorders>
            <w:shd w:val="clear" w:color="auto" w:fill="auto"/>
          </w:tcPr>
          <w:p w:rsidR="00F31279" w:rsidRPr="00F31279" w:rsidRDefault="00F31279" w:rsidP="00F31279">
            <w:pPr>
              <w:jc w:val="right"/>
              <w:rPr>
                <w:rFonts w:ascii="Arial" w:hAnsi="Arial" w:cs="Arial"/>
                <w:sz w:val="17"/>
                <w:szCs w:val="17"/>
              </w:rPr>
            </w:pPr>
            <w:r w:rsidRPr="00F31279">
              <w:rPr>
                <w:rFonts w:ascii="Arial" w:hAnsi="Arial" w:cs="Arial"/>
                <w:sz w:val="17"/>
                <w:szCs w:val="17"/>
              </w:rPr>
              <w:t>77,457</w:t>
            </w:r>
          </w:p>
        </w:tc>
      </w:tr>
      <w:tr w:rsidR="00F31279" w:rsidRPr="002D70DA" w:rsidTr="00F31279">
        <w:trPr>
          <w:trHeight w:val="240"/>
          <w:jc w:val="center"/>
        </w:trPr>
        <w:tc>
          <w:tcPr>
            <w:tcW w:w="4743" w:type="dxa"/>
            <w:tcBorders>
              <w:top w:val="single" w:sz="4" w:space="0" w:color="auto"/>
              <w:right w:val="single" w:sz="4" w:space="0" w:color="auto"/>
            </w:tcBorders>
            <w:shd w:val="clear" w:color="auto" w:fill="auto"/>
            <w:vAlign w:val="center"/>
          </w:tcPr>
          <w:p w:rsidR="00F31279" w:rsidRPr="00F93CE5" w:rsidRDefault="00F31279" w:rsidP="00F31279">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F31279" w:rsidRPr="00CE54F8" w:rsidRDefault="00F31279" w:rsidP="00F31279">
            <w:pPr>
              <w:jc w:val="right"/>
              <w:rPr>
                <w:rFonts w:ascii="Arial" w:hAnsi="Arial" w:cs="Arial"/>
                <w:b/>
                <w:sz w:val="17"/>
                <w:szCs w:val="17"/>
              </w:rPr>
            </w:pPr>
            <w:r w:rsidRPr="00F31279">
              <w:rPr>
                <w:rFonts w:ascii="Arial" w:hAnsi="Arial" w:cs="Arial"/>
                <w:b/>
                <w:sz w:val="17"/>
                <w:szCs w:val="17"/>
              </w:rPr>
              <w:t>18,558,966</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31279" w:rsidRPr="00F31279" w:rsidRDefault="00F31279" w:rsidP="00F31279">
            <w:pPr>
              <w:jc w:val="right"/>
              <w:rPr>
                <w:rFonts w:ascii="Arial" w:hAnsi="Arial" w:cs="Arial"/>
                <w:b/>
                <w:sz w:val="17"/>
                <w:szCs w:val="17"/>
              </w:rPr>
            </w:pPr>
            <w:r w:rsidRPr="00F31279">
              <w:rPr>
                <w:rFonts w:ascii="Arial" w:hAnsi="Arial" w:cs="Arial"/>
                <w:b/>
                <w:sz w:val="17"/>
                <w:szCs w:val="17"/>
              </w:rPr>
              <w:t>1,058,943</w:t>
            </w:r>
          </w:p>
        </w:tc>
      </w:tr>
    </w:tbl>
    <w:p w:rsidR="00B4359F" w:rsidRDefault="00B4359F">
      <w:pPr>
        <w:rPr>
          <w:rFonts w:ascii="Arial" w:eastAsia="Calibri" w:hAnsi="Arial" w:cs="Arial"/>
          <w:spacing w:val="-1"/>
          <w:sz w:val="17"/>
          <w:szCs w:val="17"/>
        </w:rPr>
      </w:pPr>
    </w:p>
    <w:p w:rsidR="0022168C" w:rsidRDefault="0022168C">
      <w:pPr>
        <w:rPr>
          <w:rFonts w:ascii="Arial" w:eastAsia="Calibri" w:hAnsi="Arial" w:cs="Arial"/>
          <w:spacing w:val="-1"/>
          <w:sz w:val="17"/>
          <w:szCs w:val="17"/>
        </w:rPr>
      </w:pP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B4359F" w:rsidRPr="002D70DA" w:rsidRDefault="00B4359F" w:rsidP="00B4359F">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73C7B" w:rsidRPr="002D70DA" w:rsidTr="00F3127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73C7B" w:rsidRPr="002D70DA" w:rsidRDefault="00473C7B"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73C7B"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73C7B"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F31279" w:rsidRPr="002D70DA" w:rsidTr="00F3127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31279" w:rsidRPr="00CE54F8" w:rsidRDefault="00F31279" w:rsidP="00F31279">
            <w:pPr>
              <w:rPr>
                <w:rFonts w:ascii="Arial" w:hAnsi="Arial" w:cs="Arial"/>
                <w:sz w:val="17"/>
                <w:szCs w:val="17"/>
              </w:rPr>
            </w:pPr>
            <w:r w:rsidRPr="00CE54F8">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F31279" w:rsidRPr="00F31279" w:rsidRDefault="00F31279" w:rsidP="00F31279">
            <w:pPr>
              <w:jc w:val="right"/>
              <w:rPr>
                <w:rFonts w:ascii="Arial" w:hAnsi="Arial" w:cs="Arial"/>
                <w:sz w:val="17"/>
                <w:szCs w:val="17"/>
              </w:rPr>
            </w:pPr>
            <w:r w:rsidRPr="00F31279">
              <w:rPr>
                <w:rFonts w:ascii="Arial" w:hAnsi="Arial" w:cs="Arial"/>
                <w:sz w:val="17"/>
                <w:szCs w:val="17"/>
              </w:rPr>
              <w:t xml:space="preserve">17,572,164 </w:t>
            </w:r>
          </w:p>
        </w:tc>
        <w:tc>
          <w:tcPr>
            <w:tcW w:w="2180" w:type="dxa"/>
            <w:tcBorders>
              <w:top w:val="single" w:sz="4" w:space="0" w:color="auto"/>
              <w:left w:val="nil"/>
              <w:bottom w:val="single" w:sz="4" w:space="0" w:color="auto"/>
              <w:right w:val="single" w:sz="4" w:space="0" w:color="auto"/>
            </w:tcBorders>
            <w:shd w:val="clear" w:color="auto" w:fill="auto"/>
          </w:tcPr>
          <w:p w:rsidR="00F31279" w:rsidRPr="00F31279" w:rsidRDefault="00F31279" w:rsidP="00F31279">
            <w:pPr>
              <w:jc w:val="right"/>
              <w:rPr>
                <w:rFonts w:ascii="Arial" w:hAnsi="Arial" w:cs="Arial"/>
                <w:sz w:val="17"/>
                <w:szCs w:val="17"/>
              </w:rPr>
            </w:pPr>
            <w:r w:rsidRPr="00F31279">
              <w:rPr>
                <w:rFonts w:ascii="Arial" w:hAnsi="Arial" w:cs="Arial"/>
                <w:sz w:val="17"/>
                <w:szCs w:val="17"/>
              </w:rPr>
              <w:t xml:space="preserve">0 </w:t>
            </w:r>
          </w:p>
        </w:tc>
      </w:tr>
      <w:tr w:rsidR="00F31279" w:rsidRPr="002D70DA" w:rsidTr="00F3127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31279" w:rsidRPr="00CE54F8" w:rsidRDefault="00F31279" w:rsidP="00F31279">
            <w:pPr>
              <w:rPr>
                <w:rFonts w:ascii="Arial" w:hAnsi="Arial" w:cs="Arial"/>
                <w:sz w:val="17"/>
                <w:szCs w:val="17"/>
              </w:rPr>
            </w:pPr>
            <w:r w:rsidRPr="00CE54F8">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F31279" w:rsidRPr="00F31279" w:rsidRDefault="00F31279" w:rsidP="00F31279">
            <w:pPr>
              <w:jc w:val="right"/>
              <w:rPr>
                <w:rFonts w:ascii="Arial" w:hAnsi="Arial" w:cs="Arial"/>
                <w:sz w:val="17"/>
                <w:szCs w:val="17"/>
              </w:rPr>
            </w:pPr>
            <w:r w:rsidRPr="00F31279">
              <w:rPr>
                <w:rFonts w:ascii="Arial" w:hAnsi="Arial" w:cs="Arial"/>
                <w:sz w:val="17"/>
                <w:szCs w:val="17"/>
              </w:rPr>
              <w:t xml:space="preserve">986,802 </w:t>
            </w:r>
          </w:p>
        </w:tc>
        <w:tc>
          <w:tcPr>
            <w:tcW w:w="2180" w:type="dxa"/>
            <w:tcBorders>
              <w:top w:val="single" w:sz="4" w:space="0" w:color="auto"/>
              <w:left w:val="nil"/>
              <w:bottom w:val="single" w:sz="4" w:space="0" w:color="auto"/>
              <w:right w:val="single" w:sz="4" w:space="0" w:color="auto"/>
            </w:tcBorders>
            <w:shd w:val="clear" w:color="auto" w:fill="auto"/>
          </w:tcPr>
          <w:p w:rsidR="00F31279" w:rsidRPr="00F31279" w:rsidRDefault="00F31279" w:rsidP="00F31279">
            <w:pPr>
              <w:jc w:val="right"/>
              <w:rPr>
                <w:rFonts w:ascii="Arial" w:hAnsi="Arial" w:cs="Arial"/>
                <w:sz w:val="17"/>
                <w:szCs w:val="17"/>
              </w:rPr>
            </w:pPr>
            <w:r w:rsidRPr="00F31279">
              <w:rPr>
                <w:rFonts w:ascii="Arial" w:hAnsi="Arial" w:cs="Arial"/>
                <w:sz w:val="17"/>
                <w:szCs w:val="17"/>
              </w:rPr>
              <w:t xml:space="preserve">1,058,943 </w:t>
            </w:r>
          </w:p>
        </w:tc>
      </w:tr>
      <w:tr w:rsidR="00F31279" w:rsidRPr="002D70DA" w:rsidTr="00F31279">
        <w:trPr>
          <w:trHeight w:val="240"/>
          <w:jc w:val="center"/>
        </w:trPr>
        <w:tc>
          <w:tcPr>
            <w:tcW w:w="4900" w:type="dxa"/>
            <w:tcBorders>
              <w:top w:val="nil"/>
              <w:left w:val="nil"/>
              <w:bottom w:val="nil"/>
              <w:right w:val="single" w:sz="4" w:space="0" w:color="auto"/>
            </w:tcBorders>
            <w:shd w:val="clear" w:color="000000" w:fill="FFFFFF"/>
            <w:vAlign w:val="center"/>
            <w:hideMark/>
          </w:tcPr>
          <w:p w:rsidR="00F31279" w:rsidRPr="002D70DA" w:rsidRDefault="00F31279" w:rsidP="00F3127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31279" w:rsidRPr="00F31279" w:rsidRDefault="00F31279" w:rsidP="00F31279">
            <w:pPr>
              <w:jc w:val="right"/>
              <w:rPr>
                <w:rFonts w:ascii="Arial" w:hAnsi="Arial" w:cs="Arial"/>
                <w:b/>
                <w:sz w:val="17"/>
                <w:szCs w:val="17"/>
              </w:rPr>
            </w:pPr>
            <w:r w:rsidRPr="00F31279">
              <w:rPr>
                <w:rFonts w:ascii="Arial" w:hAnsi="Arial" w:cs="Arial"/>
                <w:b/>
                <w:sz w:val="17"/>
                <w:szCs w:val="17"/>
              </w:rPr>
              <w:t>18,558,966</w:t>
            </w:r>
          </w:p>
        </w:tc>
        <w:tc>
          <w:tcPr>
            <w:tcW w:w="2180" w:type="dxa"/>
            <w:tcBorders>
              <w:top w:val="nil"/>
              <w:left w:val="single" w:sz="4" w:space="0" w:color="auto"/>
              <w:bottom w:val="single" w:sz="4" w:space="0" w:color="auto"/>
              <w:right w:val="single" w:sz="4" w:space="0" w:color="auto"/>
            </w:tcBorders>
            <w:shd w:val="clear" w:color="000000" w:fill="FFFFFF"/>
          </w:tcPr>
          <w:p w:rsidR="00F31279" w:rsidRPr="00F31279" w:rsidRDefault="00F31279" w:rsidP="00F31279">
            <w:pPr>
              <w:jc w:val="right"/>
              <w:rPr>
                <w:rFonts w:ascii="Arial" w:hAnsi="Arial" w:cs="Arial"/>
                <w:b/>
                <w:sz w:val="17"/>
                <w:szCs w:val="17"/>
              </w:rPr>
            </w:pPr>
            <w:r w:rsidRPr="00F31279">
              <w:rPr>
                <w:rFonts w:ascii="Arial" w:hAnsi="Arial" w:cs="Arial"/>
                <w:b/>
                <w:sz w:val="17"/>
                <w:szCs w:val="17"/>
              </w:rPr>
              <w:t xml:space="preserve">1,058,943 </w:t>
            </w:r>
          </w:p>
        </w:tc>
      </w:tr>
    </w:tbl>
    <w:p w:rsidR="00B4359F" w:rsidRDefault="00B4359F" w:rsidP="00B4359F">
      <w:pPr>
        <w:autoSpaceDE w:val="0"/>
        <w:autoSpaceDN w:val="0"/>
        <w:adjustRightInd w:val="0"/>
        <w:spacing w:before="240" w:after="120"/>
        <w:ind w:left="709"/>
        <w:rPr>
          <w:rFonts w:ascii="Arial" w:eastAsia="Calibri" w:hAnsi="Arial" w:cs="Arial"/>
          <w:spacing w:val="-1"/>
          <w:sz w:val="17"/>
          <w:szCs w:val="17"/>
        </w:rPr>
      </w:pPr>
    </w:p>
    <w:p w:rsidR="003A4D24" w:rsidRDefault="003A4D24">
      <w:pPr>
        <w:rPr>
          <w:rFonts w:ascii="Arial" w:hAnsi="Arial" w:cs="Arial"/>
          <w:b/>
          <w:sz w:val="17"/>
          <w:szCs w:val="17"/>
        </w:rPr>
      </w:pPr>
      <w:r>
        <w:rPr>
          <w:rFonts w:ascii="Arial" w:hAnsi="Arial" w:cs="Arial"/>
          <w:b/>
          <w:sz w:val="17"/>
          <w:szCs w:val="17"/>
        </w:rPr>
        <w:br w:type="page"/>
      </w:r>
    </w:p>
    <w:p w:rsidR="00EE16EB" w:rsidRPr="00A8264F" w:rsidRDefault="00EE16EB"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A8264F">
        <w:rPr>
          <w:rFonts w:ascii="Arial" w:hAnsi="Arial" w:cs="Arial"/>
          <w:b/>
          <w:sz w:val="17"/>
          <w:szCs w:val="17"/>
        </w:rPr>
        <w:lastRenderedPageBreak/>
        <w:t>Gastos y otras pérdidas</w:t>
      </w:r>
    </w:p>
    <w:p w:rsidR="0015343C" w:rsidRPr="002D70DA" w:rsidRDefault="0015343C" w:rsidP="0015343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Del</w:t>
      </w:r>
      <w:r w:rsidR="007C302E">
        <w:rPr>
          <w:rFonts w:ascii="Arial" w:eastAsia="Calibri" w:hAnsi="Arial" w:cs="Arial"/>
          <w:spacing w:val="-1"/>
          <w:sz w:val="17"/>
          <w:szCs w:val="17"/>
        </w:rPr>
        <w:t xml:space="preserve"> género de Gastos y otras pérdidas se informan los grupos </w:t>
      </w:r>
      <w:r w:rsidR="00E33439">
        <w:rPr>
          <w:rFonts w:ascii="Arial" w:eastAsia="Calibri" w:hAnsi="Arial" w:cs="Arial"/>
          <w:spacing w:val="-1"/>
          <w:sz w:val="17"/>
          <w:szCs w:val="17"/>
        </w:rPr>
        <w:t xml:space="preserve">de Gastos de Funcionamiento; </w:t>
      </w:r>
      <w:r w:rsidR="00E33439" w:rsidRPr="00E33439">
        <w:rPr>
          <w:rFonts w:ascii="Arial" w:eastAsia="Calibri" w:hAnsi="Arial" w:cs="Arial"/>
          <w:spacing w:val="-1"/>
          <w:sz w:val="17"/>
          <w:szCs w:val="17"/>
        </w:rPr>
        <w:t>Transferencias, Asignaciones, Subsidios y Otras Ayudas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Participaciones y Aportaciones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Intereses, Comisiones y Otros Gastos de la Deuda Pública</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Otros Gastos y Pérdidas Extraordinarias</w:t>
      </w:r>
      <w:r w:rsidR="00E33439">
        <w:rPr>
          <w:rFonts w:ascii="Arial" w:eastAsia="Calibri" w:hAnsi="Arial" w:cs="Arial"/>
          <w:spacing w:val="-1"/>
          <w:sz w:val="17"/>
          <w:szCs w:val="17"/>
        </w:rPr>
        <w:t xml:space="preserve">; e </w:t>
      </w:r>
      <w:r w:rsidR="00E33439" w:rsidRPr="00E33439">
        <w:rPr>
          <w:rFonts w:ascii="Arial" w:eastAsia="Calibri" w:hAnsi="Arial" w:cs="Arial"/>
          <w:spacing w:val="-1"/>
          <w:sz w:val="17"/>
          <w:szCs w:val="17"/>
        </w:rPr>
        <w:t>Inversión Pública</w:t>
      </w:r>
      <w:r w:rsidRPr="002D70DA">
        <w:rPr>
          <w:rFonts w:ascii="Arial" w:eastAsia="Calibri" w:hAnsi="Arial" w:cs="Arial"/>
          <w:spacing w:val="-1"/>
          <w:sz w:val="17"/>
          <w:szCs w:val="17"/>
        </w:rPr>
        <w:t xml:space="preserve">, los montos totales </w:t>
      </w:r>
      <w:r>
        <w:rPr>
          <w:rFonts w:ascii="Arial" w:eastAsia="Calibri" w:hAnsi="Arial" w:cs="Arial"/>
          <w:spacing w:val="-1"/>
          <w:sz w:val="17"/>
          <w:szCs w:val="17"/>
        </w:rPr>
        <w:t xml:space="preserve">al 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w:t>
      </w:r>
    </w:p>
    <w:p w:rsidR="0015343C" w:rsidRPr="002D70DA" w:rsidRDefault="0015343C" w:rsidP="0015343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15343C" w:rsidRPr="002D70DA" w:rsidTr="007D6B1F">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5343C" w:rsidRPr="002D70DA" w:rsidRDefault="0015343C" w:rsidP="00603D16">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AE626F" w:rsidP="00603D16">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AE626F" w:rsidP="00603D16">
            <w:pPr>
              <w:jc w:val="center"/>
              <w:rPr>
                <w:rFonts w:ascii="Arial" w:hAnsi="Arial" w:cs="Arial"/>
                <w:b/>
                <w:bCs/>
                <w:color w:val="000000"/>
                <w:sz w:val="17"/>
                <w:szCs w:val="17"/>
              </w:rPr>
            </w:pPr>
            <w:r>
              <w:rPr>
                <w:rFonts w:ascii="Arial" w:hAnsi="Arial" w:cs="Arial"/>
                <w:b/>
                <w:bCs/>
                <w:color w:val="000000"/>
                <w:sz w:val="17"/>
                <w:szCs w:val="17"/>
              </w:rPr>
              <w:t>2019</w:t>
            </w:r>
          </w:p>
        </w:tc>
      </w:tr>
      <w:tr w:rsidR="007D6B1F" w:rsidRPr="00882163" w:rsidTr="007D6B1F">
        <w:trPr>
          <w:trHeight w:val="269"/>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7D6B1F" w:rsidRPr="001E79D9" w:rsidRDefault="007D6B1F" w:rsidP="007D6B1F">
            <w:pPr>
              <w:rPr>
                <w:rFonts w:ascii="Arial" w:hAnsi="Arial" w:cs="Arial"/>
                <w:b/>
                <w:sz w:val="17"/>
                <w:szCs w:val="17"/>
              </w:rPr>
            </w:pPr>
            <w:r>
              <w:rPr>
                <w:rFonts w:ascii="Arial" w:hAnsi="Arial" w:cs="Arial"/>
                <w:b/>
                <w:sz w:val="17"/>
                <w:szCs w:val="17"/>
              </w:rPr>
              <w:t>Gastos de Funcionamiento</w:t>
            </w:r>
          </w:p>
        </w:tc>
        <w:tc>
          <w:tcPr>
            <w:tcW w:w="2180" w:type="dxa"/>
            <w:tcBorders>
              <w:top w:val="single" w:sz="4" w:space="0" w:color="auto"/>
              <w:left w:val="nil"/>
              <w:bottom w:val="single" w:sz="4" w:space="0" w:color="auto"/>
              <w:right w:val="single" w:sz="4" w:space="0" w:color="auto"/>
            </w:tcBorders>
            <w:shd w:val="clear" w:color="auto" w:fill="auto"/>
          </w:tcPr>
          <w:p w:rsidR="007D6B1F" w:rsidRPr="00CF5757" w:rsidRDefault="007D6B1F" w:rsidP="007D6B1F">
            <w:pPr>
              <w:jc w:val="right"/>
              <w:rPr>
                <w:rFonts w:ascii="Arial" w:hAnsi="Arial" w:cs="Arial"/>
                <w:sz w:val="17"/>
                <w:szCs w:val="17"/>
              </w:rPr>
            </w:pPr>
            <w:r w:rsidRPr="007D6B1F">
              <w:rPr>
                <w:rFonts w:ascii="Arial" w:hAnsi="Arial" w:cs="Arial"/>
                <w:sz w:val="17"/>
                <w:szCs w:val="17"/>
              </w:rPr>
              <w:t>12,093,917</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15,971,415</w:t>
            </w:r>
          </w:p>
        </w:tc>
      </w:tr>
      <w:tr w:rsidR="007D6B1F" w:rsidTr="007D6B1F">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7D6B1F" w:rsidRPr="0015343C" w:rsidRDefault="007D6B1F" w:rsidP="007D6B1F">
            <w:pPr>
              <w:ind w:left="634"/>
              <w:rPr>
                <w:rFonts w:ascii="Arial" w:hAnsi="Arial" w:cs="Arial"/>
                <w:sz w:val="17"/>
                <w:szCs w:val="17"/>
              </w:rPr>
            </w:pPr>
            <w:r w:rsidRPr="0015343C">
              <w:rPr>
                <w:rFonts w:ascii="Arial" w:hAnsi="Arial" w:cs="Arial"/>
                <w:sz w:val="17"/>
                <w:szCs w:val="17"/>
              </w:rPr>
              <w:t>Servicios Personales</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10,326,176 </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13,824,730</w:t>
            </w:r>
          </w:p>
        </w:tc>
      </w:tr>
      <w:tr w:rsidR="007D6B1F" w:rsidTr="007D6B1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7D6B1F" w:rsidRPr="0015343C" w:rsidRDefault="007D6B1F" w:rsidP="007D6B1F">
            <w:pPr>
              <w:ind w:left="634"/>
              <w:rPr>
                <w:rFonts w:ascii="Arial" w:hAnsi="Arial" w:cs="Arial"/>
                <w:sz w:val="17"/>
                <w:szCs w:val="17"/>
              </w:rPr>
            </w:pPr>
            <w:r w:rsidRPr="0015343C">
              <w:rPr>
                <w:rFonts w:ascii="Arial" w:hAnsi="Arial" w:cs="Arial"/>
                <w:sz w:val="17"/>
                <w:szCs w:val="17"/>
              </w:rPr>
              <w:t>Materiales y Suministros</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215,672 </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303,773</w:t>
            </w:r>
          </w:p>
        </w:tc>
      </w:tr>
      <w:tr w:rsidR="007D6B1F" w:rsidTr="007D6B1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7D6B1F" w:rsidRPr="0015343C" w:rsidRDefault="007D6B1F" w:rsidP="007D6B1F">
            <w:pPr>
              <w:ind w:left="634"/>
              <w:rPr>
                <w:rFonts w:ascii="Arial" w:hAnsi="Arial" w:cs="Arial"/>
                <w:sz w:val="17"/>
                <w:szCs w:val="17"/>
              </w:rPr>
            </w:pPr>
            <w:r w:rsidRPr="0015343C">
              <w:rPr>
                <w:rFonts w:ascii="Arial" w:hAnsi="Arial" w:cs="Arial"/>
                <w:sz w:val="17"/>
                <w:szCs w:val="17"/>
              </w:rPr>
              <w:t>Servicios Generales</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1,552,070 </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1,842,912</w:t>
            </w:r>
          </w:p>
        </w:tc>
      </w:tr>
      <w:tr w:rsidR="007D6B1F" w:rsidTr="007D6B1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7D6B1F" w:rsidRPr="0069430E" w:rsidRDefault="007D6B1F" w:rsidP="007D6B1F">
            <w:pPr>
              <w:rPr>
                <w:rFonts w:ascii="Arial" w:hAnsi="Arial" w:cs="Arial"/>
                <w:b/>
                <w:sz w:val="17"/>
                <w:szCs w:val="17"/>
              </w:rPr>
            </w:pPr>
            <w:r w:rsidRPr="0069430E">
              <w:rPr>
                <w:rFonts w:ascii="Arial" w:hAnsi="Arial" w:cs="Arial"/>
                <w:b/>
                <w:sz w:val="17"/>
                <w:szCs w:val="17"/>
              </w:rPr>
              <w:t>Transferencias, Asignaciones, Subsidios y Otras Ayudas</w:t>
            </w:r>
          </w:p>
        </w:tc>
        <w:tc>
          <w:tcPr>
            <w:tcW w:w="2180" w:type="dxa"/>
            <w:tcBorders>
              <w:top w:val="nil"/>
              <w:left w:val="nil"/>
              <w:bottom w:val="single" w:sz="4" w:space="0" w:color="auto"/>
              <w:right w:val="single" w:sz="4" w:space="0" w:color="auto"/>
            </w:tcBorders>
            <w:shd w:val="clear" w:color="auto" w:fill="auto"/>
          </w:tcPr>
          <w:p w:rsidR="007D6B1F" w:rsidRPr="00CF5757" w:rsidRDefault="007D6B1F" w:rsidP="007D6B1F">
            <w:pPr>
              <w:jc w:val="right"/>
              <w:rPr>
                <w:rFonts w:ascii="Arial" w:hAnsi="Arial" w:cs="Arial"/>
                <w:sz w:val="17"/>
                <w:szCs w:val="17"/>
              </w:rPr>
            </w:pPr>
            <w:r w:rsidRPr="007D6B1F">
              <w:rPr>
                <w:rFonts w:ascii="Arial" w:hAnsi="Arial" w:cs="Arial"/>
                <w:sz w:val="17"/>
                <w:szCs w:val="17"/>
              </w:rPr>
              <w:t>49,893</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46,844</w:t>
            </w:r>
          </w:p>
        </w:tc>
      </w:tr>
      <w:tr w:rsidR="007D6B1F" w:rsidTr="007D6B1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7D6B1F" w:rsidRPr="0069430E" w:rsidRDefault="007D6B1F" w:rsidP="007D6B1F">
            <w:pPr>
              <w:rPr>
                <w:rFonts w:ascii="Arial" w:hAnsi="Arial" w:cs="Arial"/>
                <w:b/>
                <w:sz w:val="17"/>
                <w:szCs w:val="17"/>
              </w:rPr>
            </w:pPr>
            <w:r w:rsidRPr="0069430E">
              <w:rPr>
                <w:rFonts w:ascii="Arial" w:hAnsi="Arial" w:cs="Arial"/>
                <w:b/>
                <w:sz w:val="17"/>
                <w:szCs w:val="17"/>
              </w:rPr>
              <w:t>Otros Gastos y Pérdidas Extraordinarias</w:t>
            </w:r>
          </w:p>
        </w:tc>
        <w:tc>
          <w:tcPr>
            <w:tcW w:w="2180" w:type="dxa"/>
            <w:tcBorders>
              <w:top w:val="nil"/>
              <w:left w:val="nil"/>
              <w:bottom w:val="single" w:sz="4" w:space="0" w:color="auto"/>
              <w:right w:val="single" w:sz="4" w:space="0" w:color="auto"/>
            </w:tcBorders>
            <w:shd w:val="clear" w:color="auto" w:fill="auto"/>
          </w:tcPr>
          <w:p w:rsidR="007D6B1F" w:rsidRPr="00CF5757" w:rsidRDefault="007D6B1F" w:rsidP="007D6B1F">
            <w:pPr>
              <w:jc w:val="right"/>
              <w:rPr>
                <w:rFonts w:ascii="Arial" w:hAnsi="Arial" w:cs="Arial"/>
                <w:sz w:val="17"/>
                <w:szCs w:val="17"/>
              </w:rPr>
            </w:pPr>
            <w:r w:rsidRPr="007D6B1F">
              <w:rPr>
                <w:rFonts w:ascii="Arial" w:hAnsi="Arial" w:cs="Arial"/>
                <w:sz w:val="17"/>
                <w:szCs w:val="17"/>
              </w:rPr>
              <w:t>19,608,373</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143,472</w:t>
            </w:r>
          </w:p>
        </w:tc>
      </w:tr>
      <w:tr w:rsidR="007D6B1F" w:rsidTr="007D6B1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7D6B1F" w:rsidRPr="0069430E" w:rsidRDefault="007D6B1F" w:rsidP="007D6B1F">
            <w:pPr>
              <w:rPr>
                <w:rFonts w:ascii="Arial" w:hAnsi="Arial" w:cs="Arial"/>
                <w:b/>
                <w:sz w:val="17"/>
                <w:szCs w:val="17"/>
              </w:rPr>
            </w:pPr>
            <w:r w:rsidRPr="00DB0AD8">
              <w:rPr>
                <w:rFonts w:ascii="Arial" w:hAnsi="Arial" w:cs="Arial"/>
                <w:b/>
                <w:sz w:val="17"/>
                <w:szCs w:val="17"/>
              </w:rPr>
              <w:t>Inversión Pública</w:t>
            </w:r>
            <w:r w:rsidRPr="00DB0AD8">
              <w:rPr>
                <w:rFonts w:ascii="Arial" w:hAnsi="Arial" w:cs="Arial"/>
                <w:b/>
                <w:sz w:val="17"/>
                <w:szCs w:val="17"/>
              </w:rPr>
              <w:tab/>
            </w:r>
          </w:p>
        </w:tc>
        <w:tc>
          <w:tcPr>
            <w:tcW w:w="2180" w:type="dxa"/>
            <w:tcBorders>
              <w:top w:val="nil"/>
              <w:left w:val="nil"/>
              <w:bottom w:val="single" w:sz="4" w:space="0" w:color="auto"/>
              <w:right w:val="single" w:sz="4" w:space="0" w:color="auto"/>
            </w:tcBorders>
            <w:shd w:val="clear" w:color="auto" w:fill="auto"/>
          </w:tcPr>
          <w:p w:rsidR="007D6B1F" w:rsidRPr="00CF5757" w:rsidRDefault="007D6B1F" w:rsidP="007D6B1F">
            <w:pPr>
              <w:jc w:val="right"/>
              <w:rPr>
                <w:rFonts w:ascii="Arial" w:hAnsi="Arial" w:cs="Arial"/>
                <w:sz w:val="17"/>
                <w:szCs w:val="17"/>
              </w:rPr>
            </w:pPr>
            <w:r w:rsidRPr="007D6B1F">
              <w:rPr>
                <w:rFonts w:ascii="Arial" w:hAnsi="Arial" w:cs="Arial"/>
                <w:sz w:val="17"/>
                <w:szCs w:val="17"/>
              </w:rPr>
              <w:t>40,487</w:t>
            </w:r>
          </w:p>
        </w:tc>
        <w:tc>
          <w:tcPr>
            <w:tcW w:w="2180" w:type="dxa"/>
            <w:tcBorders>
              <w:top w:val="nil"/>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17,564,990</w:t>
            </w:r>
          </w:p>
        </w:tc>
      </w:tr>
      <w:tr w:rsidR="007D6B1F" w:rsidRPr="002D70DA" w:rsidTr="007D6B1F">
        <w:trPr>
          <w:trHeight w:val="240"/>
          <w:jc w:val="center"/>
        </w:trPr>
        <w:tc>
          <w:tcPr>
            <w:tcW w:w="4900" w:type="dxa"/>
            <w:tcBorders>
              <w:top w:val="nil"/>
              <w:left w:val="nil"/>
              <w:bottom w:val="nil"/>
              <w:right w:val="nil"/>
            </w:tcBorders>
            <w:shd w:val="clear" w:color="000000" w:fill="FFFFFF"/>
            <w:vAlign w:val="center"/>
            <w:hideMark/>
          </w:tcPr>
          <w:p w:rsidR="007D6B1F" w:rsidRPr="002D70DA" w:rsidRDefault="007D6B1F" w:rsidP="007D6B1F">
            <w:pPr>
              <w:jc w:val="center"/>
              <w:rPr>
                <w:rFonts w:ascii="Arial" w:hAnsi="Arial" w:cs="Arial"/>
                <w:b/>
                <w:bCs/>
                <w:color w:val="000000"/>
                <w:sz w:val="17"/>
                <w:szCs w:val="17"/>
              </w:rPr>
            </w:pPr>
            <w:r>
              <w:rPr>
                <w:rFonts w:ascii="Arial" w:hAnsi="Arial" w:cs="Arial"/>
                <w:b/>
                <w:bCs/>
                <w:color w:val="000000"/>
                <w:sz w:val="17"/>
                <w:szCs w:val="17"/>
              </w:rPr>
              <w:t>Gastos y Otras Pérdidas</w:t>
            </w:r>
          </w:p>
        </w:tc>
        <w:tc>
          <w:tcPr>
            <w:tcW w:w="2180" w:type="dxa"/>
            <w:tcBorders>
              <w:top w:val="nil"/>
              <w:left w:val="single" w:sz="4" w:space="0" w:color="auto"/>
              <w:bottom w:val="single" w:sz="4" w:space="0" w:color="auto"/>
              <w:right w:val="single" w:sz="4" w:space="0" w:color="auto"/>
            </w:tcBorders>
            <w:shd w:val="clear" w:color="000000" w:fill="FFFFFF"/>
          </w:tcPr>
          <w:p w:rsidR="007D6B1F" w:rsidRPr="00CF5757" w:rsidRDefault="007D6B1F" w:rsidP="007D6B1F">
            <w:pPr>
              <w:jc w:val="right"/>
              <w:rPr>
                <w:rFonts w:ascii="Arial" w:hAnsi="Arial" w:cs="Arial"/>
                <w:b/>
                <w:sz w:val="17"/>
                <w:szCs w:val="17"/>
              </w:rPr>
            </w:pPr>
            <w:r w:rsidRPr="007D6B1F">
              <w:rPr>
                <w:rFonts w:ascii="Arial" w:hAnsi="Arial" w:cs="Arial"/>
                <w:b/>
                <w:sz w:val="17"/>
                <w:szCs w:val="17"/>
              </w:rPr>
              <w:t>31,792,671</w:t>
            </w:r>
          </w:p>
        </w:tc>
        <w:tc>
          <w:tcPr>
            <w:tcW w:w="2180" w:type="dxa"/>
            <w:tcBorders>
              <w:top w:val="single" w:sz="4" w:space="0" w:color="auto"/>
              <w:left w:val="nil"/>
              <w:bottom w:val="single" w:sz="4" w:space="0" w:color="auto"/>
              <w:right w:val="single" w:sz="4" w:space="0" w:color="auto"/>
            </w:tcBorders>
            <w:shd w:val="clear" w:color="000000" w:fill="FFFFFF"/>
            <w:noWrap/>
          </w:tcPr>
          <w:p w:rsidR="007D6B1F" w:rsidRPr="007D6B1F" w:rsidRDefault="007D6B1F" w:rsidP="007D6B1F">
            <w:pPr>
              <w:jc w:val="right"/>
              <w:rPr>
                <w:rFonts w:ascii="Arial" w:hAnsi="Arial" w:cs="Arial"/>
                <w:b/>
                <w:sz w:val="17"/>
                <w:szCs w:val="17"/>
              </w:rPr>
            </w:pPr>
            <w:r w:rsidRPr="007D6B1F">
              <w:rPr>
                <w:rFonts w:ascii="Arial" w:hAnsi="Arial" w:cs="Arial"/>
                <w:b/>
                <w:sz w:val="17"/>
                <w:szCs w:val="17"/>
              </w:rPr>
              <w:t>33,726,721</w:t>
            </w:r>
          </w:p>
        </w:tc>
      </w:tr>
    </w:tbl>
    <w:p w:rsidR="00510FDC" w:rsidRDefault="00510FDC" w:rsidP="00510FD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rubro de Servicios Personales está distribuido de la siguiente manera:</w:t>
      </w:r>
    </w:p>
    <w:p w:rsidR="00510FDC" w:rsidRPr="002D70DA" w:rsidRDefault="00510FDC" w:rsidP="00510FD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8A039E" w:rsidRPr="002D70DA" w:rsidTr="007D6B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A039E" w:rsidRPr="002D70DA" w:rsidRDefault="008A039E"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A039E"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A039E"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7D6B1F" w:rsidRPr="002D70DA" w:rsidTr="007D6B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D6B1F" w:rsidRPr="00F04FA2" w:rsidRDefault="007D6B1F" w:rsidP="007D6B1F">
            <w:pPr>
              <w:rPr>
                <w:rFonts w:ascii="Arial" w:hAnsi="Arial" w:cs="Arial"/>
                <w:sz w:val="17"/>
                <w:szCs w:val="17"/>
              </w:rPr>
            </w:pPr>
            <w:r w:rsidRPr="00F04FA2">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4,899,904 </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4,842,241 </w:t>
            </w:r>
          </w:p>
        </w:tc>
      </w:tr>
      <w:tr w:rsidR="007D6B1F" w:rsidRPr="002D70DA" w:rsidTr="007D6B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D6B1F" w:rsidRPr="00F04FA2" w:rsidRDefault="007D6B1F" w:rsidP="007D6B1F">
            <w:pPr>
              <w:rPr>
                <w:rFonts w:ascii="Arial" w:hAnsi="Arial" w:cs="Arial"/>
                <w:sz w:val="17"/>
                <w:szCs w:val="17"/>
              </w:rPr>
            </w:pPr>
            <w:r w:rsidRPr="00F04FA2">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5,426,272 </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8,982,490 </w:t>
            </w:r>
          </w:p>
        </w:tc>
      </w:tr>
      <w:tr w:rsidR="007D6B1F" w:rsidRPr="002D70DA" w:rsidTr="007D6B1F">
        <w:trPr>
          <w:trHeight w:val="240"/>
          <w:jc w:val="center"/>
        </w:trPr>
        <w:tc>
          <w:tcPr>
            <w:tcW w:w="4900" w:type="dxa"/>
            <w:tcBorders>
              <w:top w:val="nil"/>
              <w:left w:val="nil"/>
              <w:bottom w:val="nil"/>
              <w:right w:val="single" w:sz="4" w:space="0" w:color="auto"/>
            </w:tcBorders>
            <w:shd w:val="clear" w:color="000000" w:fill="FFFFFF"/>
            <w:vAlign w:val="center"/>
            <w:hideMark/>
          </w:tcPr>
          <w:p w:rsidR="007D6B1F" w:rsidRPr="002D70DA" w:rsidRDefault="007D6B1F" w:rsidP="007D6B1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D6B1F" w:rsidRPr="00F04FA2" w:rsidRDefault="007D6B1F" w:rsidP="007D6B1F">
            <w:pPr>
              <w:jc w:val="right"/>
              <w:rPr>
                <w:rFonts w:ascii="Arial" w:hAnsi="Arial" w:cs="Arial"/>
                <w:b/>
                <w:sz w:val="17"/>
                <w:szCs w:val="17"/>
              </w:rPr>
            </w:pPr>
            <w:r w:rsidRPr="007D6B1F">
              <w:rPr>
                <w:rFonts w:ascii="Arial" w:hAnsi="Arial" w:cs="Arial"/>
                <w:b/>
                <w:sz w:val="17"/>
                <w:szCs w:val="17"/>
              </w:rPr>
              <w:t>10,326,176</w:t>
            </w:r>
          </w:p>
        </w:tc>
        <w:tc>
          <w:tcPr>
            <w:tcW w:w="2180" w:type="dxa"/>
            <w:tcBorders>
              <w:top w:val="nil"/>
              <w:left w:val="single" w:sz="4" w:space="0" w:color="auto"/>
              <w:bottom w:val="single" w:sz="4" w:space="0" w:color="auto"/>
              <w:right w:val="single" w:sz="4" w:space="0" w:color="auto"/>
            </w:tcBorders>
            <w:shd w:val="clear" w:color="000000" w:fill="FFFFFF"/>
          </w:tcPr>
          <w:p w:rsidR="007D6B1F" w:rsidRPr="007D6B1F" w:rsidRDefault="007D6B1F" w:rsidP="007D6B1F">
            <w:pPr>
              <w:jc w:val="right"/>
              <w:rPr>
                <w:rFonts w:ascii="Arial" w:hAnsi="Arial" w:cs="Arial"/>
                <w:b/>
                <w:sz w:val="17"/>
                <w:szCs w:val="17"/>
              </w:rPr>
            </w:pPr>
            <w:r w:rsidRPr="007D6B1F">
              <w:rPr>
                <w:rFonts w:ascii="Arial" w:hAnsi="Arial" w:cs="Arial"/>
                <w:b/>
                <w:sz w:val="17"/>
                <w:szCs w:val="17"/>
              </w:rPr>
              <w:t xml:space="preserve">13,824,730 </w:t>
            </w:r>
          </w:p>
        </w:tc>
      </w:tr>
    </w:tbl>
    <w:p w:rsidR="00B96342" w:rsidRDefault="00B96342" w:rsidP="000337D3">
      <w:pPr>
        <w:autoSpaceDE w:val="0"/>
        <w:autoSpaceDN w:val="0"/>
        <w:adjustRightInd w:val="0"/>
        <w:spacing w:before="240" w:after="120"/>
        <w:ind w:left="709"/>
        <w:rPr>
          <w:rFonts w:ascii="Arial" w:eastAsia="Calibri" w:hAnsi="Arial" w:cs="Arial"/>
          <w:spacing w:val="-1"/>
          <w:sz w:val="17"/>
          <w:szCs w:val="17"/>
        </w:rPr>
      </w:pPr>
    </w:p>
    <w:p w:rsidR="000337D3" w:rsidRDefault="000337D3" w:rsidP="000337D3">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0337D3">
        <w:rPr>
          <w:rFonts w:ascii="Arial" w:eastAsia="Calibri" w:hAnsi="Arial" w:cs="Arial"/>
          <w:spacing w:val="-1"/>
          <w:sz w:val="17"/>
          <w:szCs w:val="17"/>
        </w:rPr>
        <w:t>Materiales y Suministros</w:t>
      </w:r>
      <w:r>
        <w:rPr>
          <w:rFonts w:ascii="Arial" w:eastAsia="Calibri" w:hAnsi="Arial" w:cs="Arial"/>
          <w:spacing w:val="-1"/>
          <w:sz w:val="17"/>
          <w:szCs w:val="17"/>
        </w:rPr>
        <w:t xml:space="preserve"> está distribuido de la siguiente manera:</w:t>
      </w:r>
    </w:p>
    <w:p w:rsidR="000337D3" w:rsidRPr="002D70DA" w:rsidRDefault="000337D3" w:rsidP="000337D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77808" w:rsidRPr="002D70DA" w:rsidTr="007D6B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77808" w:rsidRPr="002D70DA" w:rsidRDefault="00B77808"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7D6B1F" w:rsidRPr="002D70DA" w:rsidTr="007D6B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D6B1F" w:rsidRPr="00F04FA2" w:rsidRDefault="007D6B1F" w:rsidP="007D6B1F">
            <w:pPr>
              <w:rPr>
                <w:rFonts w:ascii="Arial" w:hAnsi="Arial" w:cs="Arial"/>
                <w:sz w:val="17"/>
                <w:szCs w:val="17"/>
              </w:rPr>
            </w:pPr>
            <w:r w:rsidRPr="00F04FA2">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110,980 </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165,278 </w:t>
            </w:r>
          </w:p>
        </w:tc>
      </w:tr>
      <w:tr w:rsidR="007D6B1F" w:rsidRPr="002D70DA" w:rsidTr="007D6B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D6B1F" w:rsidRPr="00F04FA2" w:rsidRDefault="007D6B1F" w:rsidP="007D6B1F">
            <w:pPr>
              <w:rPr>
                <w:rFonts w:ascii="Arial" w:hAnsi="Arial" w:cs="Arial"/>
                <w:sz w:val="17"/>
                <w:szCs w:val="17"/>
              </w:rPr>
            </w:pPr>
            <w:r w:rsidRPr="00F04FA2">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104,692 </w:t>
            </w:r>
          </w:p>
        </w:tc>
        <w:tc>
          <w:tcPr>
            <w:tcW w:w="2180" w:type="dxa"/>
            <w:tcBorders>
              <w:top w:val="single" w:sz="4" w:space="0" w:color="auto"/>
              <w:left w:val="nil"/>
              <w:bottom w:val="single" w:sz="4" w:space="0" w:color="auto"/>
              <w:right w:val="single" w:sz="4" w:space="0" w:color="auto"/>
            </w:tcBorders>
            <w:shd w:val="clear" w:color="auto" w:fill="auto"/>
          </w:tcPr>
          <w:p w:rsidR="007D6B1F" w:rsidRPr="007D6B1F" w:rsidRDefault="007D6B1F" w:rsidP="007D6B1F">
            <w:pPr>
              <w:jc w:val="right"/>
              <w:rPr>
                <w:rFonts w:ascii="Arial" w:hAnsi="Arial" w:cs="Arial"/>
                <w:sz w:val="17"/>
                <w:szCs w:val="17"/>
              </w:rPr>
            </w:pPr>
            <w:r w:rsidRPr="007D6B1F">
              <w:rPr>
                <w:rFonts w:ascii="Arial" w:hAnsi="Arial" w:cs="Arial"/>
                <w:sz w:val="17"/>
                <w:szCs w:val="17"/>
              </w:rPr>
              <w:t xml:space="preserve">138,495 </w:t>
            </w:r>
          </w:p>
        </w:tc>
      </w:tr>
      <w:tr w:rsidR="007D6B1F" w:rsidRPr="002D70DA" w:rsidTr="007D6B1F">
        <w:trPr>
          <w:trHeight w:val="240"/>
          <w:jc w:val="center"/>
        </w:trPr>
        <w:tc>
          <w:tcPr>
            <w:tcW w:w="4900" w:type="dxa"/>
            <w:tcBorders>
              <w:top w:val="nil"/>
              <w:left w:val="nil"/>
              <w:bottom w:val="nil"/>
              <w:right w:val="single" w:sz="4" w:space="0" w:color="auto"/>
            </w:tcBorders>
            <w:shd w:val="clear" w:color="000000" w:fill="FFFFFF"/>
            <w:vAlign w:val="center"/>
            <w:hideMark/>
          </w:tcPr>
          <w:p w:rsidR="007D6B1F" w:rsidRPr="002D70DA" w:rsidRDefault="007D6B1F" w:rsidP="007D6B1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D6B1F" w:rsidRPr="00F04FA2" w:rsidRDefault="007D6B1F" w:rsidP="007D6B1F">
            <w:pPr>
              <w:jc w:val="right"/>
              <w:rPr>
                <w:rFonts w:ascii="Arial" w:hAnsi="Arial" w:cs="Arial"/>
                <w:b/>
                <w:sz w:val="17"/>
                <w:szCs w:val="17"/>
              </w:rPr>
            </w:pPr>
            <w:r w:rsidRPr="007D6B1F">
              <w:rPr>
                <w:rFonts w:ascii="Arial" w:hAnsi="Arial" w:cs="Arial"/>
                <w:b/>
                <w:sz w:val="17"/>
                <w:szCs w:val="17"/>
              </w:rPr>
              <w:t>215,672</w:t>
            </w:r>
          </w:p>
        </w:tc>
        <w:tc>
          <w:tcPr>
            <w:tcW w:w="2180" w:type="dxa"/>
            <w:tcBorders>
              <w:top w:val="nil"/>
              <w:left w:val="single" w:sz="4" w:space="0" w:color="auto"/>
              <w:bottom w:val="single" w:sz="4" w:space="0" w:color="auto"/>
              <w:right w:val="single" w:sz="4" w:space="0" w:color="auto"/>
            </w:tcBorders>
            <w:shd w:val="clear" w:color="000000" w:fill="FFFFFF"/>
          </w:tcPr>
          <w:p w:rsidR="007D6B1F" w:rsidRPr="007D6B1F" w:rsidRDefault="007D6B1F" w:rsidP="007D6B1F">
            <w:pPr>
              <w:jc w:val="right"/>
              <w:rPr>
                <w:rFonts w:ascii="Arial" w:hAnsi="Arial" w:cs="Arial"/>
                <w:b/>
                <w:sz w:val="17"/>
                <w:szCs w:val="17"/>
              </w:rPr>
            </w:pPr>
            <w:r w:rsidRPr="007D6B1F">
              <w:rPr>
                <w:rFonts w:ascii="Arial" w:hAnsi="Arial" w:cs="Arial"/>
                <w:b/>
                <w:sz w:val="17"/>
                <w:szCs w:val="17"/>
              </w:rPr>
              <w:t xml:space="preserve">303,773 </w:t>
            </w:r>
          </w:p>
        </w:tc>
      </w:tr>
    </w:tbl>
    <w:p w:rsidR="00F04FA2" w:rsidRDefault="00F04FA2" w:rsidP="002165BD">
      <w:pPr>
        <w:autoSpaceDE w:val="0"/>
        <w:autoSpaceDN w:val="0"/>
        <w:adjustRightInd w:val="0"/>
        <w:spacing w:before="240" w:after="120"/>
        <w:ind w:left="709"/>
        <w:rPr>
          <w:rFonts w:ascii="Arial" w:eastAsia="Calibri" w:hAnsi="Arial" w:cs="Arial"/>
          <w:spacing w:val="-1"/>
          <w:sz w:val="17"/>
          <w:szCs w:val="17"/>
        </w:rPr>
      </w:pPr>
    </w:p>
    <w:p w:rsidR="00F04FA2" w:rsidRDefault="00F04FA2">
      <w:pPr>
        <w:rPr>
          <w:rFonts w:ascii="Arial" w:eastAsia="Calibri" w:hAnsi="Arial" w:cs="Arial"/>
          <w:spacing w:val="-1"/>
          <w:sz w:val="17"/>
          <w:szCs w:val="17"/>
        </w:rPr>
      </w:pPr>
      <w:r>
        <w:rPr>
          <w:rFonts w:ascii="Arial" w:eastAsia="Calibri" w:hAnsi="Arial" w:cs="Arial"/>
          <w:spacing w:val="-1"/>
          <w:sz w:val="17"/>
          <w:szCs w:val="17"/>
        </w:rPr>
        <w:br w:type="page"/>
      </w:r>
    </w:p>
    <w:p w:rsidR="002165BD" w:rsidRDefault="002165BD" w:rsidP="002165B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 xml:space="preserve">El rubro de </w:t>
      </w:r>
      <w:r w:rsidRPr="002165BD">
        <w:rPr>
          <w:rFonts w:ascii="Arial" w:eastAsia="Calibri" w:hAnsi="Arial" w:cs="Arial"/>
          <w:spacing w:val="-1"/>
          <w:sz w:val="17"/>
          <w:szCs w:val="17"/>
        </w:rPr>
        <w:t>Servicios Generales</w:t>
      </w:r>
      <w:r>
        <w:rPr>
          <w:rFonts w:ascii="Arial" w:eastAsia="Calibri" w:hAnsi="Arial" w:cs="Arial"/>
          <w:spacing w:val="-1"/>
          <w:sz w:val="17"/>
          <w:szCs w:val="17"/>
        </w:rPr>
        <w:t xml:space="preserve"> está distribuido de la siguiente manera:</w:t>
      </w:r>
    </w:p>
    <w:p w:rsidR="002165BD" w:rsidRPr="002D70DA" w:rsidRDefault="002165BD" w:rsidP="002165B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77808" w:rsidRPr="002D70DA" w:rsidTr="00F4405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77808" w:rsidRPr="002D70DA" w:rsidRDefault="00B77808"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F44051" w:rsidRPr="002D70DA" w:rsidTr="00F4405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44051" w:rsidRPr="006F5F43" w:rsidRDefault="00F44051" w:rsidP="00F44051">
            <w:pPr>
              <w:rPr>
                <w:rFonts w:ascii="Arial" w:hAnsi="Arial" w:cs="Arial"/>
                <w:sz w:val="17"/>
                <w:szCs w:val="17"/>
              </w:rPr>
            </w:pPr>
            <w:r w:rsidRPr="006F5F43">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F44051" w:rsidRPr="00F44051" w:rsidRDefault="00F44051" w:rsidP="00F44051">
            <w:pPr>
              <w:jc w:val="right"/>
              <w:rPr>
                <w:rFonts w:ascii="Arial" w:hAnsi="Arial" w:cs="Arial"/>
                <w:sz w:val="17"/>
                <w:szCs w:val="17"/>
              </w:rPr>
            </w:pPr>
            <w:r w:rsidRPr="00F44051">
              <w:rPr>
                <w:rFonts w:ascii="Arial" w:hAnsi="Arial" w:cs="Arial"/>
                <w:sz w:val="17"/>
                <w:szCs w:val="17"/>
              </w:rPr>
              <w:t xml:space="preserve">817,564 </w:t>
            </w:r>
          </w:p>
        </w:tc>
        <w:tc>
          <w:tcPr>
            <w:tcW w:w="2180" w:type="dxa"/>
            <w:tcBorders>
              <w:top w:val="single" w:sz="4" w:space="0" w:color="auto"/>
              <w:left w:val="nil"/>
              <w:bottom w:val="single" w:sz="4" w:space="0" w:color="auto"/>
              <w:right w:val="single" w:sz="4" w:space="0" w:color="auto"/>
            </w:tcBorders>
            <w:shd w:val="clear" w:color="auto" w:fill="auto"/>
          </w:tcPr>
          <w:p w:rsidR="00F44051" w:rsidRPr="00F44051" w:rsidRDefault="00F44051" w:rsidP="00F44051">
            <w:pPr>
              <w:jc w:val="right"/>
              <w:rPr>
                <w:rFonts w:ascii="Arial" w:hAnsi="Arial" w:cs="Arial"/>
                <w:sz w:val="17"/>
                <w:szCs w:val="17"/>
              </w:rPr>
            </w:pPr>
            <w:r w:rsidRPr="00F44051">
              <w:rPr>
                <w:rFonts w:ascii="Arial" w:hAnsi="Arial" w:cs="Arial"/>
                <w:sz w:val="17"/>
                <w:szCs w:val="17"/>
              </w:rPr>
              <w:t xml:space="preserve">904,099 </w:t>
            </w:r>
          </w:p>
        </w:tc>
      </w:tr>
      <w:tr w:rsidR="00F44051" w:rsidRPr="002D70DA" w:rsidTr="00F4405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44051" w:rsidRPr="006F5F43" w:rsidRDefault="00F44051" w:rsidP="00F44051">
            <w:pPr>
              <w:rPr>
                <w:rFonts w:ascii="Arial" w:hAnsi="Arial" w:cs="Arial"/>
                <w:sz w:val="17"/>
                <w:szCs w:val="17"/>
              </w:rPr>
            </w:pPr>
            <w:r w:rsidRPr="006F5F43">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F44051" w:rsidRPr="00F44051" w:rsidRDefault="00F44051" w:rsidP="00F44051">
            <w:pPr>
              <w:jc w:val="right"/>
              <w:rPr>
                <w:rFonts w:ascii="Arial" w:hAnsi="Arial" w:cs="Arial"/>
                <w:sz w:val="17"/>
                <w:szCs w:val="17"/>
              </w:rPr>
            </w:pPr>
            <w:r w:rsidRPr="00F44051">
              <w:rPr>
                <w:rFonts w:ascii="Arial" w:hAnsi="Arial" w:cs="Arial"/>
                <w:sz w:val="17"/>
                <w:szCs w:val="17"/>
              </w:rPr>
              <w:t xml:space="preserve">734,506 </w:t>
            </w:r>
          </w:p>
        </w:tc>
        <w:tc>
          <w:tcPr>
            <w:tcW w:w="2180" w:type="dxa"/>
            <w:tcBorders>
              <w:top w:val="single" w:sz="4" w:space="0" w:color="auto"/>
              <w:left w:val="nil"/>
              <w:bottom w:val="single" w:sz="4" w:space="0" w:color="auto"/>
              <w:right w:val="single" w:sz="4" w:space="0" w:color="auto"/>
            </w:tcBorders>
            <w:shd w:val="clear" w:color="auto" w:fill="auto"/>
          </w:tcPr>
          <w:p w:rsidR="00F44051" w:rsidRPr="00F44051" w:rsidRDefault="00F44051" w:rsidP="00F44051">
            <w:pPr>
              <w:jc w:val="right"/>
              <w:rPr>
                <w:rFonts w:ascii="Arial" w:hAnsi="Arial" w:cs="Arial"/>
                <w:sz w:val="17"/>
                <w:szCs w:val="17"/>
              </w:rPr>
            </w:pPr>
            <w:r w:rsidRPr="00F44051">
              <w:rPr>
                <w:rFonts w:ascii="Arial" w:hAnsi="Arial" w:cs="Arial"/>
                <w:sz w:val="17"/>
                <w:szCs w:val="17"/>
              </w:rPr>
              <w:t xml:space="preserve">938,813 </w:t>
            </w:r>
          </w:p>
        </w:tc>
      </w:tr>
      <w:tr w:rsidR="00F44051" w:rsidRPr="002D70DA" w:rsidTr="00F44051">
        <w:trPr>
          <w:trHeight w:val="240"/>
          <w:jc w:val="center"/>
        </w:trPr>
        <w:tc>
          <w:tcPr>
            <w:tcW w:w="4900" w:type="dxa"/>
            <w:tcBorders>
              <w:top w:val="nil"/>
              <w:left w:val="nil"/>
              <w:bottom w:val="nil"/>
              <w:right w:val="single" w:sz="4" w:space="0" w:color="auto"/>
            </w:tcBorders>
            <w:shd w:val="clear" w:color="000000" w:fill="FFFFFF"/>
            <w:vAlign w:val="center"/>
            <w:hideMark/>
          </w:tcPr>
          <w:p w:rsidR="00F44051" w:rsidRPr="002D70DA" w:rsidRDefault="00F44051" w:rsidP="00F4405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44051" w:rsidRPr="006F5F43" w:rsidRDefault="00F44051" w:rsidP="00F44051">
            <w:pPr>
              <w:jc w:val="right"/>
              <w:rPr>
                <w:rFonts w:ascii="Arial" w:hAnsi="Arial" w:cs="Arial"/>
                <w:b/>
                <w:sz w:val="17"/>
                <w:szCs w:val="17"/>
              </w:rPr>
            </w:pPr>
            <w:r w:rsidRPr="00F44051">
              <w:rPr>
                <w:rFonts w:ascii="Arial" w:hAnsi="Arial" w:cs="Arial"/>
                <w:b/>
                <w:sz w:val="17"/>
                <w:szCs w:val="17"/>
              </w:rPr>
              <w:t>1,552,070</w:t>
            </w:r>
          </w:p>
        </w:tc>
        <w:tc>
          <w:tcPr>
            <w:tcW w:w="2180" w:type="dxa"/>
            <w:tcBorders>
              <w:top w:val="nil"/>
              <w:left w:val="single" w:sz="4" w:space="0" w:color="auto"/>
              <w:bottom w:val="single" w:sz="4" w:space="0" w:color="auto"/>
              <w:right w:val="single" w:sz="4" w:space="0" w:color="auto"/>
            </w:tcBorders>
            <w:shd w:val="clear" w:color="000000" w:fill="FFFFFF"/>
          </w:tcPr>
          <w:p w:rsidR="00F44051" w:rsidRPr="00F44051" w:rsidRDefault="00F44051" w:rsidP="00F44051">
            <w:pPr>
              <w:jc w:val="right"/>
              <w:rPr>
                <w:rFonts w:ascii="Arial" w:hAnsi="Arial" w:cs="Arial"/>
                <w:b/>
                <w:sz w:val="17"/>
                <w:szCs w:val="17"/>
              </w:rPr>
            </w:pPr>
            <w:r w:rsidRPr="00F44051">
              <w:rPr>
                <w:rFonts w:ascii="Arial" w:hAnsi="Arial" w:cs="Arial"/>
                <w:b/>
                <w:sz w:val="17"/>
                <w:szCs w:val="17"/>
              </w:rPr>
              <w:t xml:space="preserve">1,842,912 </w:t>
            </w:r>
          </w:p>
        </w:tc>
      </w:tr>
    </w:tbl>
    <w:p w:rsidR="00421629" w:rsidRDefault="00421629" w:rsidP="0058361C">
      <w:pPr>
        <w:autoSpaceDE w:val="0"/>
        <w:autoSpaceDN w:val="0"/>
        <w:adjustRightInd w:val="0"/>
        <w:spacing w:before="240" w:after="120"/>
        <w:ind w:left="709"/>
        <w:rPr>
          <w:rFonts w:ascii="Arial" w:eastAsia="Calibri" w:hAnsi="Arial" w:cs="Arial"/>
          <w:spacing w:val="-1"/>
          <w:sz w:val="17"/>
          <w:szCs w:val="17"/>
        </w:rPr>
      </w:pPr>
    </w:p>
    <w:p w:rsidR="0058361C" w:rsidRDefault="0058361C" w:rsidP="0058361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000B0333" w:rsidRPr="000B0333">
        <w:rPr>
          <w:rFonts w:ascii="Arial" w:eastAsia="Calibri" w:hAnsi="Arial" w:cs="Arial"/>
          <w:spacing w:val="-1"/>
          <w:sz w:val="17"/>
          <w:szCs w:val="17"/>
        </w:rPr>
        <w:t>Transferencias, Asignaciones, Subsidios y Otras Ayudas</w:t>
      </w:r>
      <w:r>
        <w:rPr>
          <w:rFonts w:ascii="Arial" w:eastAsia="Calibri" w:hAnsi="Arial" w:cs="Arial"/>
          <w:spacing w:val="-1"/>
          <w:sz w:val="17"/>
          <w:szCs w:val="17"/>
        </w:rPr>
        <w:t xml:space="preserve"> está distribuido de la siguiente manera:</w:t>
      </w:r>
    </w:p>
    <w:p w:rsidR="0058361C" w:rsidRPr="002D70DA" w:rsidRDefault="0058361C" w:rsidP="0058361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5D0A76" w:rsidRPr="002D70DA" w:rsidTr="0015063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D0A76" w:rsidRPr="002D70DA" w:rsidRDefault="005D0A76"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D0A76"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D0A76"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150632" w:rsidRPr="002D70DA" w:rsidTr="0015063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0632" w:rsidRPr="00150632" w:rsidRDefault="00150632" w:rsidP="00150632">
            <w:pPr>
              <w:rPr>
                <w:rFonts w:ascii="Arial" w:hAnsi="Arial" w:cs="Arial"/>
                <w:sz w:val="17"/>
                <w:szCs w:val="17"/>
              </w:rPr>
            </w:pPr>
            <w:r w:rsidRPr="00150632">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150632" w:rsidRPr="00150632" w:rsidRDefault="00D24888" w:rsidP="00150632">
            <w:pPr>
              <w:jc w:val="right"/>
              <w:rPr>
                <w:rFonts w:ascii="Arial" w:hAnsi="Arial" w:cs="Arial"/>
                <w:sz w:val="17"/>
                <w:szCs w:val="17"/>
              </w:rPr>
            </w:pPr>
            <w:r w:rsidRPr="00D24888">
              <w:rPr>
                <w:rFonts w:ascii="Arial" w:hAnsi="Arial" w:cs="Arial"/>
                <w:sz w:val="17"/>
                <w:szCs w:val="17"/>
              </w:rPr>
              <w:t>49,893</w:t>
            </w:r>
          </w:p>
        </w:tc>
        <w:tc>
          <w:tcPr>
            <w:tcW w:w="2180" w:type="dxa"/>
            <w:tcBorders>
              <w:top w:val="single" w:sz="4" w:space="0" w:color="auto"/>
              <w:left w:val="nil"/>
              <w:bottom w:val="single" w:sz="4" w:space="0" w:color="auto"/>
              <w:right w:val="single" w:sz="4" w:space="0" w:color="auto"/>
            </w:tcBorders>
            <w:shd w:val="clear" w:color="auto" w:fill="auto"/>
          </w:tcPr>
          <w:p w:rsidR="00150632" w:rsidRPr="00150632" w:rsidRDefault="00D24888" w:rsidP="00150632">
            <w:pPr>
              <w:jc w:val="right"/>
              <w:rPr>
                <w:rFonts w:ascii="Arial" w:hAnsi="Arial" w:cs="Arial"/>
                <w:sz w:val="17"/>
                <w:szCs w:val="17"/>
              </w:rPr>
            </w:pPr>
            <w:r w:rsidRPr="00D24888">
              <w:rPr>
                <w:rFonts w:ascii="Arial" w:hAnsi="Arial" w:cs="Arial"/>
                <w:sz w:val="17"/>
                <w:szCs w:val="17"/>
              </w:rPr>
              <w:t>46,844</w:t>
            </w:r>
          </w:p>
        </w:tc>
      </w:tr>
    </w:tbl>
    <w:p w:rsidR="00245E5E" w:rsidRDefault="00245E5E">
      <w:pPr>
        <w:rPr>
          <w:rFonts w:ascii="Arial" w:eastAsia="Calibri" w:hAnsi="Arial" w:cs="Arial"/>
          <w:spacing w:val="-1"/>
          <w:sz w:val="17"/>
          <w:szCs w:val="17"/>
        </w:rPr>
      </w:pPr>
    </w:p>
    <w:p w:rsidR="006637C5" w:rsidRDefault="006637C5" w:rsidP="006637C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6637C5">
        <w:rPr>
          <w:rFonts w:ascii="Arial" w:eastAsia="Calibri" w:hAnsi="Arial" w:cs="Arial"/>
          <w:spacing w:val="-1"/>
          <w:sz w:val="17"/>
          <w:szCs w:val="17"/>
        </w:rPr>
        <w:t>Otros Gastos y Pérdidas Extraordinarias</w:t>
      </w:r>
      <w:r>
        <w:rPr>
          <w:rFonts w:ascii="Arial" w:eastAsia="Calibri" w:hAnsi="Arial" w:cs="Arial"/>
          <w:spacing w:val="-1"/>
          <w:sz w:val="17"/>
          <w:szCs w:val="17"/>
        </w:rPr>
        <w:t xml:space="preserve"> está distribuido de la siguiente manera:</w:t>
      </w:r>
    </w:p>
    <w:p w:rsidR="006637C5" w:rsidRPr="002D70DA" w:rsidRDefault="006637C5" w:rsidP="006637C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637C5" w:rsidRPr="002D70DA" w:rsidTr="00A415D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637C5" w:rsidRPr="002D70DA" w:rsidRDefault="006637C5"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637C5"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637C5" w:rsidRPr="002D70DA" w:rsidRDefault="00AE626F"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A415D8" w:rsidRPr="002D70DA" w:rsidTr="00A415D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5D8" w:rsidRPr="004C44D1" w:rsidRDefault="00A415D8" w:rsidP="00A415D8">
            <w:pPr>
              <w:rPr>
                <w:rFonts w:ascii="Arial" w:hAnsi="Arial" w:cs="Arial"/>
                <w:sz w:val="17"/>
                <w:szCs w:val="17"/>
              </w:rPr>
            </w:pPr>
            <w:r w:rsidRPr="004C44D1">
              <w:rPr>
                <w:rFonts w:ascii="Arial" w:hAnsi="Arial" w:cs="Arial"/>
                <w:sz w:val="17"/>
                <w:szCs w:val="17"/>
              </w:rPr>
              <w:t>Fideicomiso Promotor de Proyectos Económicos y Bienestar Social</w:t>
            </w:r>
          </w:p>
        </w:tc>
        <w:tc>
          <w:tcPr>
            <w:tcW w:w="2180" w:type="dxa"/>
            <w:tcBorders>
              <w:top w:val="single" w:sz="4" w:space="0" w:color="auto"/>
              <w:left w:val="nil"/>
              <w:bottom w:val="single" w:sz="4" w:space="0" w:color="auto"/>
              <w:right w:val="single" w:sz="4" w:space="0" w:color="auto"/>
            </w:tcBorders>
            <w:shd w:val="clear" w:color="auto" w:fill="auto"/>
          </w:tcPr>
          <w:p w:rsidR="00A415D8" w:rsidRPr="00A415D8" w:rsidRDefault="00A415D8" w:rsidP="00A415D8">
            <w:pPr>
              <w:jc w:val="right"/>
              <w:rPr>
                <w:rFonts w:ascii="Arial" w:hAnsi="Arial" w:cs="Arial"/>
                <w:sz w:val="17"/>
                <w:szCs w:val="17"/>
              </w:rPr>
            </w:pPr>
            <w:r w:rsidRPr="00A415D8">
              <w:rPr>
                <w:rFonts w:ascii="Arial" w:hAnsi="Arial" w:cs="Arial"/>
                <w:sz w:val="17"/>
                <w:szCs w:val="17"/>
              </w:rPr>
              <w:t xml:space="preserve">67,600 </w:t>
            </w:r>
          </w:p>
        </w:tc>
        <w:tc>
          <w:tcPr>
            <w:tcW w:w="2180" w:type="dxa"/>
            <w:tcBorders>
              <w:top w:val="single" w:sz="4" w:space="0" w:color="auto"/>
              <w:left w:val="nil"/>
              <w:bottom w:val="single" w:sz="4" w:space="0" w:color="auto"/>
              <w:right w:val="single" w:sz="4" w:space="0" w:color="auto"/>
            </w:tcBorders>
            <w:shd w:val="clear" w:color="auto" w:fill="auto"/>
          </w:tcPr>
          <w:p w:rsidR="00A415D8" w:rsidRPr="00A415D8" w:rsidRDefault="00A415D8" w:rsidP="00A415D8">
            <w:pPr>
              <w:jc w:val="right"/>
              <w:rPr>
                <w:rFonts w:ascii="Arial" w:hAnsi="Arial" w:cs="Arial"/>
                <w:sz w:val="17"/>
                <w:szCs w:val="17"/>
              </w:rPr>
            </w:pPr>
            <w:r w:rsidRPr="00A415D8">
              <w:rPr>
                <w:rFonts w:ascii="Arial" w:hAnsi="Arial" w:cs="Arial"/>
                <w:sz w:val="17"/>
                <w:szCs w:val="17"/>
              </w:rPr>
              <w:t xml:space="preserve">143,472 </w:t>
            </w:r>
          </w:p>
        </w:tc>
      </w:tr>
      <w:tr w:rsidR="00A415D8" w:rsidRPr="002D70DA" w:rsidTr="00A415D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5D8" w:rsidRPr="004C44D1" w:rsidRDefault="00A415D8" w:rsidP="00A415D8">
            <w:pPr>
              <w:rPr>
                <w:rFonts w:ascii="Arial" w:hAnsi="Arial" w:cs="Arial"/>
                <w:sz w:val="17"/>
                <w:szCs w:val="17"/>
              </w:rPr>
            </w:pPr>
            <w:r w:rsidRPr="004C44D1">
              <w:rPr>
                <w:rFonts w:ascii="Arial" w:hAnsi="Arial" w:cs="Arial"/>
                <w:sz w:val="17"/>
                <w:szCs w:val="17"/>
              </w:rPr>
              <w:t>Fideicomiso Promotor del Empleo</w:t>
            </w:r>
          </w:p>
        </w:tc>
        <w:tc>
          <w:tcPr>
            <w:tcW w:w="2180" w:type="dxa"/>
            <w:tcBorders>
              <w:top w:val="single" w:sz="4" w:space="0" w:color="auto"/>
              <w:left w:val="nil"/>
              <w:bottom w:val="single" w:sz="4" w:space="0" w:color="auto"/>
              <w:right w:val="single" w:sz="4" w:space="0" w:color="auto"/>
            </w:tcBorders>
            <w:shd w:val="clear" w:color="auto" w:fill="auto"/>
          </w:tcPr>
          <w:p w:rsidR="00A415D8" w:rsidRPr="00A415D8" w:rsidRDefault="00A415D8" w:rsidP="00A415D8">
            <w:pPr>
              <w:jc w:val="right"/>
              <w:rPr>
                <w:rFonts w:ascii="Arial" w:hAnsi="Arial" w:cs="Arial"/>
                <w:sz w:val="17"/>
                <w:szCs w:val="17"/>
              </w:rPr>
            </w:pPr>
            <w:r w:rsidRPr="00A415D8">
              <w:rPr>
                <w:rFonts w:ascii="Arial" w:hAnsi="Arial" w:cs="Arial"/>
                <w:sz w:val="17"/>
                <w:szCs w:val="17"/>
              </w:rPr>
              <w:t xml:space="preserve">19,540,774 </w:t>
            </w:r>
          </w:p>
        </w:tc>
        <w:tc>
          <w:tcPr>
            <w:tcW w:w="2180" w:type="dxa"/>
            <w:tcBorders>
              <w:top w:val="single" w:sz="4" w:space="0" w:color="auto"/>
              <w:left w:val="nil"/>
              <w:bottom w:val="single" w:sz="4" w:space="0" w:color="auto"/>
              <w:right w:val="single" w:sz="4" w:space="0" w:color="auto"/>
            </w:tcBorders>
            <w:shd w:val="clear" w:color="auto" w:fill="auto"/>
          </w:tcPr>
          <w:p w:rsidR="00A415D8" w:rsidRPr="00A415D8" w:rsidRDefault="00A415D8" w:rsidP="00A415D8">
            <w:pPr>
              <w:jc w:val="right"/>
              <w:rPr>
                <w:rFonts w:ascii="Arial" w:hAnsi="Arial" w:cs="Arial"/>
                <w:sz w:val="17"/>
                <w:szCs w:val="17"/>
              </w:rPr>
            </w:pPr>
            <w:r w:rsidRPr="00A415D8">
              <w:rPr>
                <w:rFonts w:ascii="Arial" w:hAnsi="Arial" w:cs="Arial"/>
                <w:sz w:val="17"/>
                <w:szCs w:val="17"/>
              </w:rPr>
              <w:t xml:space="preserve">0 </w:t>
            </w:r>
          </w:p>
        </w:tc>
      </w:tr>
      <w:tr w:rsidR="004C44D1" w:rsidRPr="002D70DA" w:rsidTr="00A415D8">
        <w:trPr>
          <w:trHeight w:val="240"/>
          <w:jc w:val="center"/>
        </w:trPr>
        <w:tc>
          <w:tcPr>
            <w:tcW w:w="4900" w:type="dxa"/>
            <w:tcBorders>
              <w:top w:val="nil"/>
              <w:left w:val="nil"/>
              <w:bottom w:val="nil"/>
              <w:right w:val="single" w:sz="4" w:space="0" w:color="auto"/>
            </w:tcBorders>
            <w:shd w:val="clear" w:color="000000" w:fill="FFFFFF"/>
            <w:vAlign w:val="center"/>
            <w:hideMark/>
          </w:tcPr>
          <w:p w:rsidR="004C44D1" w:rsidRPr="002D70DA" w:rsidRDefault="004C44D1" w:rsidP="004C44D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C44D1" w:rsidRPr="004C44D1" w:rsidRDefault="00A415D8" w:rsidP="004C44D1">
            <w:pPr>
              <w:jc w:val="right"/>
              <w:rPr>
                <w:rFonts w:ascii="Arial" w:hAnsi="Arial" w:cs="Arial"/>
                <w:b/>
                <w:sz w:val="17"/>
                <w:szCs w:val="17"/>
              </w:rPr>
            </w:pPr>
            <w:r w:rsidRPr="00A415D8">
              <w:rPr>
                <w:rFonts w:ascii="Arial" w:hAnsi="Arial" w:cs="Arial"/>
                <w:b/>
                <w:sz w:val="17"/>
                <w:szCs w:val="17"/>
              </w:rPr>
              <w:t>19,608,373</w:t>
            </w:r>
          </w:p>
        </w:tc>
        <w:tc>
          <w:tcPr>
            <w:tcW w:w="2180" w:type="dxa"/>
            <w:tcBorders>
              <w:top w:val="nil"/>
              <w:left w:val="single" w:sz="4" w:space="0" w:color="auto"/>
              <w:bottom w:val="single" w:sz="4" w:space="0" w:color="auto"/>
              <w:right w:val="single" w:sz="4" w:space="0" w:color="auto"/>
            </w:tcBorders>
            <w:shd w:val="clear" w:color="000000" w:fill="FFFFFF"/>
          </w:tcPr>
          <w:p w:rsidR="004C44D1" w:rsidRPr="004C44D1" w:rsidRDefault="00A415D8" w:rsidP="004C44D1">
            <w:pPr>
              <w:jc w:val="right"/>
              <w:rPr>
                <w:rFonts w:ascii="Arial" w:hAnsi="Arial" w:cs="Arial"/>
                <w:b/>
                <w:sz w:val="17"/>
                <w:szCs w:val="17"/>
              </w:rPr>
            </w:pPr>
            <w:r w:rsidRPr="00A415D8">
              <w:rPr>
                <w:rFonts w:ascii="Arial" w:hAnsi="Arial" w:cs="Arial"/>
                <w:b/>
                <w:sz w:val="17"/>
                <w:szCs w:val="17"/>
              </w:rPr>
              <w:t>143,472</w:t>
            </w:r>
          </w:p>
        </w:tc>
      </w:tr>
    </w:tbl>
    <w:p w:rsidR="006637C5" w:rsidRDefault="006637C5" w:rsidP="00EA1982">
      <w:pPr>
        <w:autoSpaceDE w:val="0"/>
        <w:autoSpaceDN w:val="0"/>
        <w:adjustRightInd w:val="0"/>
        <w:spacing w:before="240" w:after="120"/>
        <w:ind w:left="709"/>
        <w:rPr>
          <w:rFonts w:ascii="Arial" w:eastAsia="Calibri" w:hAnsi="Arial" w:cs="Arial"/>
          <w:spacing w:val="-1"/>
          <w:sz w:val="17"/>
          <w:szCs w:val="17"/>
        </w:rPr>
      </w:pPr>
    </w:p>
    <w:p w:rsidR="00755741" w:rsidRDefault="00755741">
      <w:pPr>
        <w:rPr>
          <w:rFonts w:ascii="Arial" w:eastAsia="Calibri" w:hAnsi="Arial" w:cs="Arial"/>
          <w:spacing w:val="-1"/>
          <w:sz w:val="17"/>
          <w:szCs w:val="17"/>
        </w:rPr>
      </w:pPr>
      <w:r>
        <w:rPr>
          <w:rFonts w:ascii="Arial" w:eastAsia="Calibri" w:hAnsi="Arial" w:cs="Arial"/>
          <w:spacing w:val="-1"/>
          <w:sz w:val="17"/>
          <w:szCs w:val="17"/>
        </w:rPr>
        <w:br w:type="page"/>
      </w:r>
    </w:p>
    <w:p w:rsidR="00BC0DE0" w:rsidRPr="002D70DA" w:rsidRDefault="00BC0DE0" w:rsidP="00E76A8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Se explican aquellas cuentas de gastos de funcionamiento, transferencias, subsidios y otras ayudas, participaciones y aportaciones, otros gastos y pérdidas extraordinarias, que en lo individual representen el 10% o más del total de los gastos</w:t>
      </w:r>
      <w:r w:rsidR="00D0525E"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w:t>
      </w:r>
    </w:p>
    <w:p w:rsidR="00BC0DE0" w:rsidRPr="002D70DA" w:rsidRDefault="00BC0DE0" w:rsidP="00BC0DE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BC0DE0" w:rsidRPr="002D70DA" w:rsidTr="00932D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E0" w:rsidRPr="002D70DA" w:rsidRDefault="002470B0">
            <w:pPr>
              <w:rPr>
                <w:rFonts w:ascii="Arial" w:hAnsi="Arial" w:cs="Arial"/>
                <w:b/>
                <w:bCs/>
                <w:color w:val="000000"/>
                <w:sz w:val="17"/>
                <w:szCs w:val="17"/>
              </w:rPr>
            </w:pPr>
            <w:r w:rsidRPr="002D70DA">
              <w:rPr>
                <w:rFonts w:ascii="Arial" w:hAnsi="Arial" w:cs="Arial"/>
                <w:b/>
                <w:bCs/>
                <w:color w:val="000000"/>
                <w:sz w:val="17"/>
                <w:szCs w:val="17"/>
              </w:rPr>
              <w:t>Monto total de gastos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C0DE0" w:rsidRPr="00F165DD" w:rsidRDefault="007A7616">
            <w:pPr>
              <w:jc w:val="right"/>
              <w:rPr>
                <w:rFonts w:ascii="Arial" w:hAnsi="Arial" w:cs="Arial"/>
                <w:b/>
                <w:bCs/>
                <w:color w:val="000000"/>
                <w:sz w:val="17"/>
                <w:szCs w:val="17"/>
              </w:rPr>
            </w:pPr>
            <w:r w:rsidRPr="007A7616">
              <w:rPr>
                <w:rFonts w:ascii="Arial" w:hAnsi="Arial" w:cs="Arial"/>
                <w:b/>
                <w:bCs/>
                <w:color w:val="000000"/>
                <w:sz w:val="17"/>
                <w:szCs w:val="17"/>
              </w:rPr>
              <w:t>31,792,671</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BC0DE0">
        <w:trPr>
          <w:trHeight w:val="240"/>
          <w:jc w:val="center"/>
        </w:trPr>
        <w:tc>
          <w:tcPr>
            <w:tcW w:w="490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2A58F7">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Monto individual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Porcentaje del total del gasto</w:t>
            </w:r>
          </w:p>
        </w:tc>
      </w:tr>
      <w:tr w:rsidR="00F50E22"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F50E22" w:rsidRPr="00F50E22" w:rsidRDefault="00755741" w:rsidP="00F50E22">
            <w:pPr>
              <w:rPr>
                <w:rFonts w:ascii="Arial" w:hAnsi="Arial" w:cs="Arial"/>
                <w:sz w:val="17"/>
                <w:szCs w:val="17"/>
              </w:rPr>
            </w:pPr>
            <w:r w:rsidRPr="00755741">
              <w:rPr>
                <w:rFonts w:ascii="Arial" w:hAnsi="Arial" w:cs="Arial"/>
                <w:sz w:val="17"/>
                <w:szCs w:val="17"/>
              </w:rPr>
              <w:t>Remuneraciones al Personal de Carácter Permanente</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7A7616" w:rsidP="00F50E22">
            <w:pPr>
              <w:jc w:val="right"/>
              <w:rPr>
                <w:rFonts w:ascii="Arial" w:hAnsi="Arial" w:cs="Arial"/>
                <w:bCs/>
                <w:color w:val="000000"/>
                <w:sz w:val="17"/>
                <w:szCs w:val="17"/>
              </w:rPr>
            </w:pPr>
            <w:r w:rsidRPr="007A7616">
              <w:rPr>
                <w:rFonts w:ascii="Arial" w:hAnsi="Arial" w:cs="Arial"/>
                <w:bCs/>
                <w:color w:val="000000"/>
                <w:sz w:val="17"/>
                <w:szCs w:val="17"/>
              </w:rPr>
              <w:t>5,357,617</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755741" w:rsidP="007A7616">
            <w:pPr>
              <w:jc w:val="right"/>
              <w:rPr>
                <w:rFonts w:ascii="Arial" w:hAnsi="Arial" w:cs="Arial"/>
                <w:bCs/>
                <w:color w:val="000000"/>
                <w:sz w:val="17"/>
                <w:szCs w:val="17"/>
              </w:rPr>
            </w:pPr>
            <w:r>
              <w:rPr>
                <w:rFonts w:ascii="Arial" w:hAnsi="Arial" w:cs="Arial"/>
                <w:bCs/>
                <w:color w:val="000000"/>
                <w:sz w:val="17"/>
                <w:szCs w:val="17"/>
              </w:rPr>
              <w:t>1</w:t>
            </w:r>
            <w:r w:rsidR="007A7616">
              <w:rPr>
                <w:rFonts w:ascii="Arial" w:hAnsi="Arial" w:cs="Arial"/>
                <w:bCs/>
                <w:color w:val="000000"/>
                <w:sz w:val="17"/>
                <w:szCs w:val="17"/>
              </w:rPr>
              <w:t>6</w:t>
            </w:r>
            <w:r>
              <w:rPr>
                <w:rFonts w:ascii="Arial" w:hAnsi="Arial" w:cs="Arial"/>
                <w:bCs/>
                <w:color w:val="000000"/>
                <w:sz w:val="17"/>
                <w:szCs w:val="17"/>
              </w:rPr>
              <w:t>.</w:t>
            </w:r>
            <w:r w:rsidR="007A7616">
              <w:rPr>
                <w:rFonts w:ascii="Arial" w:hAnsi="Arial" w:cs="Arial"/>
                <w:bCs/>
                <w:color w:val="000000"/>
                <w:sz w:val="17"/>
                <w:szCs w:val="17"/>
              </w:rPr>
              <w:t>85</w:t>
            </w:r>
            <w:r>
              <w:rPr>
                <w:rFonts w:ascii="Arial" w:hAnsi="Arial" w:cs="Arial"/>
                <w:bCs/>
                <w:color w:val="000000"/>
                <w:sz w:val="17"/>
                <w:szCs w:val="17"/>
              </w:rPr>
              <w:t>%</w:t>
            </w:r>
          </w:p>
        </w:tc>
      </w:tr>
      <w:tr w:rsidR="00E81A88"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E81A88" w:rsidRPr="00F50E22" w:rsidRDefault="007A7616" w:rsidP="00F50E22">
            <w:pPr>
              <w:rPr>
                <w:rFonts w:ascii="Arial" w:hAnsi="Arial" w:cs="Arial"/>
                <w:sz w:val="17"/>
                <w:szCs w:val="17"/>
              </w:rPr>
            </w:pPr>
            <w:r w:rsidRPr="007A7616">
              <w:rPr>
                <w:rFonts w:ascii="Arial" w:hAnsi="Arial" w:cs="Arial"/>
                <w:sz w:val="17"/>
                <w:szCs w:val="17"/>
              </w:rPr>
              <w:t>Estimaciones por Pérdida o Deterioro de Activos Circulantes</w:t>
            </w:r>
          </w:p>
        </w:tc>
        <w:tc>
          <w:tcPr>
            <w:tcW w:w="2180" w:type="dxa"/>
            <w:tcBorders>
              <w:top w:val="single" w:sz="4" w:space="0" w:color="auto"/>
              <w:left w:val="nil"/>
              <w:bottom w:val="single" w:sz="4" w:space="0" w:color="auto"/>
              <w:right w:val="single" w:sz="4" w:space="0" w:color="auto"/>
            </w:tcBorders>
            <w:shd w:val="clear" w:color="auto" w:fill="auto"/>
          </w:tcPr>
          <w:p w:rsidR="00E81A88" w:rsidRDefault="007A7616" w:rsidP="00F50E22">
            <w:pPr>
              <w:jc w:val="right"/>
              <w:rPr>
                <w:rFonts w:ascii="Arial" w:hAnsi="Arial" w:cs="Arial"/>
                <w:bCs/>
                <w:color w:val="000000"/>
                <w:sz w:val="17"/>
                <w:szCs w:val="17"/>
              </w:rPr>
            </w:pPr>
            <w:r w:rsidRPr="007A7616">
              <w:rPr>
                <w:rFonts w:ascii="Arial" w:hAnsi="Arial" w:cs="Arial"/>
                <w:bCs/>
                <w:color w:val="000000"/>
                <w:sz w:val="17"/>
                <w:szCs w:val="17"/>
              </w:rPr>
              <w:t>19,540,774</w:t>
            </w:r>
          </w:p>
        </w:tc>
        <w:tc>
          <w:tcPr>
            <w:tcW w:w="2180" w:type="dxa"/>
            <w:tcBorders>
              <w:top w:val="single" w:sz="4" w:space="0" w:color="auto"/>
              <w:left w:val="nil"/>
              <w:bottom w:val="single" w:sz="4" w:space="0" w:color="auto"/>
              <w:right w:val="single" w:sz="4" w:space="0" w:color="auto"/>
            </w:tcBorders>
            <w:shd w:val="clear" w:color="auto" w:fill="auto"/>
          </w:tcPr>
          <w:p w:rsidR="00E81A88" w:rsidRPr="00D561B4" w:rsidRDefault="007A7616" w:rsidP="007A7616">
            <w:pPr>
              <w:jc w:val="right"/>
              <w:rPr>
                <w:rFonts w:ascii="Arial" w:hAnsi="Arial" w:cs="Arial"/>
                <w:bCs/>
                <w:color w:val="000000"/>
                <w:sz w:val="17"/>
                <w:szCs w:val="17"/>
              </w:rPr>
            </w:pPr>
            <w:r>
              <w:rPr>
                <w:rFonts w:ascii="Arial" w:hAnsi="Arial" w:cs="Arial"/>
                <w:bCs/>
                <w:color w:val="000000"/>
                <w:sz w:val="17"/>
                <w:szCs w:val="17"/>
              </w:rPr>
              <w:t>61</w:t>
            </w:r>
            <w:r w:rsidR="00755741">
              <w:rPr>
                <w:rFonts w:ascii="Arial" w:hAnsi="Arial" w:cs="Arial"/>
                <w:bCs/>
                <w:color w:val="000000"/>
                <w:sz w:val="17"/>
                <w:szCs w:val="17"/>
              </w:rPr>
              <w:t>.</w:t>
            </w:r>
            <w:r>
              <w:rPr>
                <w:rFonts w:ascii="Arial" w:hAnsi="Arial" w:cs="Arial"/>
                <w:bCs/>
                <w:color w:val="000000"/>
                <w:sz w:val="17"/>
                <w:szCs w:val="17"/>
              </w:rPr>
              <w:t>46</w:t>
            </w:r>
            <w:r w:rsidR="00755741">
              <w:rPr>
                <w:rFonts w:ascii="Arial" w:hAnsi="Arial" w:cs="Arial"/>
                <w:bCs/>
                <w:color w:val="000000"/>
                <w:sz w:val="17"/>
                <w:szCs w:val="17"/>
              </w:rPr>
              <w:t>%</w:t>
            </w:r>
          </w:p>
        </w:tc>
      </w:tr>
    </w:tbl>
    <w:p w:rsidR="00534381" w:rsidRDefault="00534381" w:rsidP="00534381">
      <w:pPr>
        <w:spacing w:before="80" w:line="250" w:lineRule="exact"/>
        <w:jc w:val="both"/>
        <w:rPr>
          <w:rFonts w:ascii="Arial" w:eastAsia="Calibri" w:hAnsi="Arial" w:cs="Arial"/>
          <w:b/>
          <w:spacing w:val="-1"/>
          <w:sz w:val="17"/>
          <w:szCs w:val="17"/>
        </w:rPr>
      </w:pPr>
    </w:p>
    <w:p w:rsidR="00FE2D83" w:rsidRDefault="00FE2D83">
      <w:pPr>
        <w:rPr>
          <w:rFonts w:ascii="Arial" w:eastAsia="Calibri" w:hAnsi="Arial" w:cs="Arial"/>
          <w:b/>
          <w:spacing w:val="-1"/>
          <w:sz w:val="17"/>
          <w:szCs w:val="17"/>
        </w:rPr>
      </w:pPr>
      <w:r>
        <w:rPr>
          <w:rFonts w:ascii="Arial" w:eastAsia="Calibri" w:hAnsi="Arial" w:cs="Arial"/>
          <w:b/>
          <w:spacing w:val="-1"/>
          <w:sz w:val="17"/>
          <w:szCs w:val="17"/>
        </w:rPr>
        <w:br w:type="page"/>
      </w:r>
    </w:p>
    <w:p w:rsidR="00BC0DE0" w:rsidRPr="009A7FA3" w:rsidRDefault="00BC0DE0"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9A7FA3">
        <w:rPr>
          <w:rFonts w:ascii="Arial" w:hAnsi="Arial" w:cs="Arial"/>
          <w:b/>
          <w:sz w:val="17"/>
          <w:szCs w:val="17"/>
        </w:rPr>
        <w:lastRenderedPageBreak/>
        <w:t xml:space="preserve">Notas al Estado de </w:t>
      </w:r>
      <w:r w:rsidR="00D0525E" w:rsidRPr="009A7FA3">
        <w:rPr>
          <w:rFonts w:ascii="Arial" w:hAnsi="Arial" w:cs="Arial"/>
          <w:b/>
          <w:sz w:val="17"/>
          <w:szCs w:val="17"/>
        </w:rPr>
        <w:t>Variación en la Hacienda Pública</w:t>
      </w:r>
    </w:p>
    <w:p w:rsidR="00D0525E" w:rsidRPr="002D70DA" w:rsidRDefault="00D0525E" w:rsidP="00791E59">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informa de manera agrupada, acerca de las modificaciones a</w:t>
      </w:r>
      <w:r w:rsidR="003977E2">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3977E2">
        <w:rPr>
          <w:rFonts w:ascii="Arial" w:eastAsia="Calibri" w:hAnsi="Arial" w:cs="Arial"/>
          <w:spacing w:val="-1"/>
          <w:sz w:val="17"/>
          <w:szCs w:val="17"/>
        </w:rPr>
        <w:t>a Hacienda Pública</w:t>
      </w:r>
      <w:r w:rsidRPr="002D70DA">
        <w:rPr>
          <w:rFonts w:ascii="Arial" w:eastAsia="Calibri" w:hAnsi="Arial" w:cs="Arial"/>
          <w:spacing w:val="-1"/>
          <w:sz w:val="17"/>
          <w:szCs w:val="17"/>
        </w:rPr>
        <w:t xml:space="preserve"> contribuid</w:t>
      </w:r>
      <w:r w:rsidR="003977E2">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w:t>
      </w:r>
    </w:p>
    <w:p w:rsidR="00D0525E" w:rsidRPr="002D70DA" w:rsidRDefault="00D0525E" w:rsidP="00D0525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9B3D4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603D1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D16" w:rsidRPr="002D70DA" w:rsidRDefault="009A7FA3" w:rsidP="00603D16">
            <w:pPr>
              <w:rPr>
                <w:rFonts w:ascii="Arial" w:hAnsi="Arial" w:cs="Arial"/>
                <w:b/>
                <w:bCs/>
                <w:color w:val="000000"/>
                <w:sz w:val="17"/>
                <w:szCs w:val="17"/>
              </w:rPr>
            </w:pPr>
            <w:r>
              <w:rPr>
                <w:rFonts w:ascii="Arial" w:hAnsi="Arial" w:cs="Arial"/>
                <w:b/>
                <w:bCs/>
                <w:color w:val="000000"/>
                <w:sz w:val="17"/>
                <w:szCs w:val="17"/>
              </w:rPr>
              <w:t>Aportaciones</w:t>
            </w:r>
          </w:p>
        </w:tc>
        <w:tc>
          <w:tcPr>
            <w:tcW w:w="2180" w:type="dxa"/>
            <w:tcBorders>
              <w:top w:val="single" w:sz="4" w:space="0" w:color="auto"/>
              <w:left w:val="nil"/>
              <w:bottom w:val="single" w:sz="4" w:space="0" w:color="auto"/>
              <w:right w:val="single" w:sz="4" w:space="0" w:color="auto"/>
            </w:tcBorders>
            <w:shd w:val="clear" w:color="auto" w:fill="auto"/>
            <w:hideMark/>
          </w:tcPr>
          <w:p w:rsidR="00603D16" w:rsidRPr="00FB07DB" w:rsidRDefault="005C4CB4" w:rsidP="00603D16">
            <w:pPr>
              <w:jc w:val="right"/>
              <w:rPr>
                <w:rFonts w:ascii="Arial" w:hAnsi="Arial" w:cs="Arial"/>
                <w:b/>
                <w:sz w:val="17"/>
                <w:szCs w:val="17"/>
              </w:rPr>
            </w:pPr>
            <w:r>
              <w:rPr>
                <w:rFonts w:ascii="Arial" w:hAnsi="Arial" w:cs="Arial"/>
                <w:b/>
                <w:sz w:val="17"/>
                <w:szCs w:val="17"/>
              </w:rPr>
              <w:t>0</w:t>
            </w:r>
          </w:p>
        </w:tc>
      </w:tr>
      <w:tr w:rsidR="006A573B"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tcPr>
          <w:p w:rsidR="006A573B" w:rsidRDefault="00FF750D" w:rsidP="00603D16">
            <w:pPr>
              <w:rPr>
                <w:rFonts w:ascii="Arial" w:hAnsi="Arial" w:cs="Arial"/>
                <w:b/>
                <w:bCs/>
                <w:color w:val="000000"/>
                <w:sz w:val="17"/>
                <w:szCs w:val="17"/>
              </w:rPr>
            </w:pPr>
            <w:r w:rsidRPr="00FF750D">
              <w:rPr>
                <w:rFonts w:ascii="Arial" w:hAnsi="Arial" w:cs="Arial"/>
                <w:b/>
                <w:bCs/>
                <w:color w:val="000000"/>
                <w:sz w:val="17"/>
                <w:szCs w:val="17"/>
              </w:rPr>
              <w:t>Actualización de la Hacienda Pública/Patrimonio</w:t>
            </w:r>
          </w:p>
        </w:tc>
        <w:tc>
          <w:tcPr>
            <w:tcW w:w="2180" w:type="dxa"/>
            <w:tcBorders>
              <w:top w:val="single" w:sz="4" w:space="0" w:color="auto"/>
              <w:left w:val="nil"/>
              <w:bottom w:val="single" w:sz="4" w:space="0" w:color="auto"/>
              <w:right w:val="single" w:sz="4" w:space="0" w:color="auto"/>
            </w:tcBorders>
            <w:shd w:val="clear" w:color="auto" w:fill="auto"/>
          </w:tcPr>
          <w:p w:rsidR="006A573B" w:rsidRPr="006A573B" w:rsidRDefault="005C4CB4" w:rsidP="00603D16">
            <w:pPr>
              <w:jc w:val="right"/>
              <w:rPr>
                <w:rFonts w:ascii="Arial" w:hAnsi="Arial" w:cs="Arial"/>
                <w:b/>
                <w:sz w:val="17"/>
                <w:szCs w:val="17"/>
              </w:rPr>
            </w:pPr>
            <w:r>
              <w:rPr>
                <w:rFonts w:ascii="Arial" w:hAnsi="Arial" w:cs="Arial"/>
                <w:b/>
                <w:sz w:val="17"/>
                <w:szCs w:val="17"/>
              </w:rPr>
              <w:t>0</w:t>
            </w:r>
          </w:p>
        </w:tc>
      </w:tr>
    </w:tbl>
    <w:p w:rsidR="00791E59" w:rsidRDefault="00791E59">
      <w:pPr>
        <w:rPr>
          <w:rFonts w:ascii="Arial" w:eastAsia="Calibri" w:hAnsi="Arial" w:cs="Arial"/>
          <w:spacing w:val="-1"/>
          <w:sz w:val="17"/>
          <w:szCs w:val="17"/>
        </w:rPr>
      </w:pPr>
    </w:p>
    <w:p w:rsidR="00835157" w:rsidRDefault="00835157">
      <w:pPr>
        <w:rPr>
          <w:rFonts w:ascii="Arial" w:eastAsia="Calibri" w:hAnsi="Arial" w:cs="Arial"/>
          <w:spacing w:val="-1"/>
          <w:sz w:val="17"/>
          <w:szCs w:val="17"/>
        </w:rPr>
      </w:pPr>
    </w:p>
    <w:p w:rsidR="005151EC" w:rsidRDefault="009A7FA3" w:rsidP="00C462F7">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Resultado de Aportaciones</w:t>
      </w:r>
      <w:r w:rsidR="00FF750D">
        <w:rPr>
          <w:rFonts w:ascii="Arial" w:eastAsia="Calibri" w:hAnsi="Arial" w:cs="Arial"/>
          <w:spacing w:val="-1"/>
          <w:sz w:val="17"/>
          <w:szCs w:val="17"/>
        </w:rPr>
        <w:t xml:space="preserve"> y </w:t>
      </w:r>
      <w:r w:rsidR="00FF750D" w:rsidRPr="00FF750D">
        <w:rPr>
          <w:rFonts w:ascii="Arial" w:eastAsia="Calibri" w:hAnsi="Arial" w:cs="Arial"/>
          <w:spacing w:val="-1"/>
          <w:sz w:val="17"/>
          <w:szCs w:val="17"/>
        </w:rPr>
        <w:t>Actualización del</w:t>
      </w:r>
      <w:r w:rsidR="00FF750D">
        <w:rPr>
          <w:rFonts w:ascii="Arial" w:eastAsia="Calibri" w:hAnsi="Arial" w:cs="Arial"/>
          <w:spacing w:val="-1"/>
          <w:sz w:val="17"/>
          <w:szCs w:val="17"/>
        </w:rPr>
        <w:t xml:space="preserve"> </w:t>
      </w:r>
      <w:r w:rsidR="00FF750D" w:rsidRPr="00FF750D">
        <w:rPr>
          <w:rFonts w:ascii="Arial" w:eastAsia="Calibri" w:hAnsi="Arial" w:cs="Arial"/>
          <w:spacing w:val="-1"/>
          <w:sz w:val="17"/>
          <w:szCs w:val="17"/>
        </w:rPr>
        <w:t>Patrimonio</w:t>
      </w:r>
      <w:r w:rsidR="006A573B">
        <w:rPr>
          <w:rFonts w:ascii="Arial" w:eastAsia="Calibri" w:hAnsi="Arial" w:cs="Arial"/>
          <w:spacing w:val="-1"/>
          <w:sz w:val="17"/>
          <w:szCs w:val="17"/>
        </w:rPr>
        <w:t xml:space="preserve"> </w:t>
      </w:r>
      <w:r>
        <w:rPr>
          <w:rFonts w:ascii="Arial" w:eastAsia="Calibri" w:hAnsi="Arial" w:cs="Arial"/>
          <w:spacing w:val="-1"/>
          <w:sz w:val="17"/>
          <w:szCs w:val="17"/>
        </w:rPr>
        <w:t xml:space="preserve">registradas por </w:t>
      </w:r>
      <w:r w:rsidR="006D1FCA">
        <w:rPr>
          <w:rFonts w:ascii="Arial" w:eastAsia="Calibri" w:hAnsi="Arial" w:cs="Arial"/>
          <w:spacing w:val="-1"/>
          <w:sz w:val="17"/>
          <w:szCs w:val="17"/>
        </w:rPr>
        <w:t>l</w:t>
      </w:r>
      <w:r w:rsidR="006A573B">
        <w:rPr>
          <w:rFonts w:ascii="Arial" w:eastAsia="Calibri" w:hAnsi="Arial" w:cs="Arial"/>
          <w:spacing w:val="-1"/>
          <w:sz w:val="17"/>
          <w:szCs w:val="17"/>
        </w:rPr>
        <w:t>a</w:t>
      </w:r>
      <w:r w:rsidR="006D1FCA">
        <w:rPr>
          <w:rFonts w:ascii="Arial" w:eastAsia="Calibri" w:hAnsi="Arial" w:cs="Arial"/>
          <w:spacing w:val="-1"/>
          <w:sz w:val="17"/>
          <w:szCs w:val="17"/>
        </w:rPr>
        <w:t xml:space="preserve"> </w:t>
      </w:r>
      <w:r w:rsidR="00FF750D">
        <w:rPr>
          <w:rFonts w:ascii="Arial" w:eastAsia="Calibri" w:hAnsi="Arial" w:cs="Arial"/>
          <w:spacing w:val="-1"/>
          <w:sz w:val="17"/>
          <w:szCs w:val="17"/>
        </w:rPr>
        <w:t xml:space="preserve">el </w:t>
      </w:r>
      <w:r w:rsidR="00FF750D" w:rsidRPr="00FF750D">
        <w:rPr>
          <w:rFonts w:ascii="Arial" w:eastAsia="Calibri" w:hAnsi="Arial" w:cs="Arial"/>
          <w:spacing w:val="-1"/>
          <w:sz w:val="17"/>
          <w:szCs w:val="17"/>
        </w:rPr>
        <w:t>Fideicomiso Promotor de Proyectos Económicos y Bienestar Social</w:t>
      </w:r>
      <w:r w:rsidR="006D1FCA">
        <w:rPr>
          <w:rFonts w:ascii="Arial" w:eastAsia="Calibri" w:hAnsi="Arial" w:cs="Arial"/>
          <w:spacing w:val="-1"/>
          <w:sz w:val="17"/>
          <w:szCs w:val="17"/>
        </w:rPr>
        <w:t>.</w:t>
      </w:r>
    </w:p>
    <w:p w:rsidR="005151EC" w:rsidRDefault="005151EC" w:rsidP="00C462F7">
      <w:pPr>
        <w:spacing w:before="80" w:line="250" w:lineRule="exact"/>
        <w:ind w:left="709"/>
        <w:jc w:val="both"/>
        <w:rPr>
          <w:rFonts w:ascii="Arial" w:eastAsia="Calibri" w:hAnsi="Arial" w:cs="Arial"/>
          <w:spacing w:val="-1"/>
          <w:sz w:val="17"/>
          <w:szCs w:val="17"/>
        </w:rPr>
      </w:pPr>
    </w:p>
    <w:p w:rsidR="00C462F7" w:rsidRPr="002D70DA" w:rsidRDefault="00C462F7" w:rsidP="00C462F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acerca del monto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 xml:space="preserve"> así como la procedencia de los recursos que modifican a</w:t>
      </w:r>
      <w:r w:rsidR="008C493D">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8C493D">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8C493D">
        <w:rPr>
          <w:rFonts w:ascii="Arial" w:eastAsia="Calibri" w:hAnsi="Arial" w:cs="Arial"/>
          <w:spacing w:val="-1"/>
          <w:sz w:val="17"/>
          <w:szCs w:val="17"/>
        </w:rPr>
        <w:t>Hacienda Pública generada</w:t>
      </w:r>
      <w:r w:rsidRPr="002D70DA">
        <w:rPr>
          <w:rFonts w:ascii="Arial" w:eastAsia="Calibri" w:hAnsi="Arial" w:cs="Arial"/>
          <w:spacing w:val="-1"/>
          <w:sz w:val="17"/>
          <w:szCs w:val="17"/>
        </w:rPr>
        <w:t>:</w:t>
      </w:r>
    </w:p>
    <w:p w:rsidR="00C462F7" w:rsidRPr="002D70DA" w:rsidRDefault="00C462F7" w:rsidP="00C462F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6173" w:type="dxa"/>
        <w:jc w:val="center"/>
        <w:tblCellMar>
          <w:left w:w="70" w:type="dxa"/>
          <w:right w:w="70" w:type="dxa"/>
        </w:tblCellMar>
        <w:tblLook w:val="04A0" w:firstRow="1" w:lastRow="0" w:firstColumn="1" w:lastColumn="0" w:noHBand="0" w:noVBand="1"/>
      </w:tblPr>
      <w:tblGrid>
        <w:gridCol w:w="3086"/>
        <w:gridCol w:w="3087"/>
      </w:tblGrid>
      <w:tr w:rsidR="00251646" w:rsidRPr="002D70DA" w:rsidTr="00A25F9E">
        <w:trPr>
          <w:trHeight w:val="229"/>
          <w:jc w:val="center"/>
        </w:trPr>
        <w:tc>
          <w:tcPr>
            <w:tcW w:w="30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308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8B2E49" w:rsidRPr="002D70DA" w:rsidTr="00791E59">
        <w:trPr>
          <w:trHeight w:val="13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 del ejercicio</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5C4CB4" w:rsidP="008B2E49">
            <w:pPr>
              <w:jc w:val="right"/>
              <w:rPr>
                <w:rFonts w:ascii="Arial" w:hAnsi="Arial" w:cs="Arial"/>
                <w:b/>
                <w:sz w:val="17"/>
                <w:szCs w:val="17"/>
              </w:rPr>
            </w:pPr>
            <w:r w:rsidRPr="005C4CB4">
              <w:rPr>
                <w:rFonts w:ascii="Arial" w:hAnsi="Arial" w:cs="Arial"/>
                <w:b/>
                <w:sz w:val="17"/>
                <w:szCs w:val="17"/>
              </w:rPr>
              <w:t>-9,703,134</w:t>
            </w:r>
          </w:p>
        </w:tc>
      </w:tr>
      <w:tr w:rsidR="008B2E49" w:rsidRPr="002D70DA" w:rsidTr="00791E59">
        <w:trPr>
          <w:trHeight w:val="79"/>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791E59">
        <w:trPr>
          <w:trHeight w:val="1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5C4CB4" w:rsidP="008B2E49">
            <w:pPr>
              <w:jc w:val="right"/>
              <w:rPr>
                <w:rFonts w:ascii="Arial" w:hAnsi="Arial" w:cs="Arial"/>
                <w:b/>
                <w:sz w:val="17"/>
                <w:szCs w:val="17"/>
              </w:rPr>
            </w:pPr>
            <w:r>
              <w:rPr>
                <w:rFonts w:ascii="Arial" w:hAnsi="Arial" w:cs="Arial"/>
                <w:b/>
                <w:sz w:val="17"/>
                <w:szCs w:val="17"/>
              </w:rPr>
              <w:t>-</w:t>
            </w:r>
            <w:r w:rsidRPr="005C4CB4">
              <w:rPr>
                <w:rFonts w:ascii="Arial" w:hAnsi="Arial" w:cs="Arial"/>
                <w:b/>
                <w:sz w:val="17"/>
                <w:szCs w:val="17"/>
              </w:rPr>
              <w:t>24,751,378</w:t>
            </w:r>
          </w:p>
        </w:tc>
      </w:tr>
      <w:tr w:rsidR="008B2E49" w:rsidRPr="002D70DA" w:rsidTr="00791E59">
        <w:trPr>
          <w:trHeight w:val="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CC7032">
        <w:trPr>
          <w:trHeight w:val="240"/>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Revalúos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5C4CB4" w:rsidP="008B2E49">
            <w:pPr>
              <w:jc w:val="right"/>
              <w:rPr>
                <w:rFonts w:ascii="Arial" w:hAnsi="Arial" w:cs="Arial"/>
                <w:b/>
                <w:sz w:val="17"/>
                <w:szCs w:val="17"/>
              </w:rPr>
            </w:pPr>
            <w:r w:rsidRPr="005C4CB4">
              <w:rPr>
                <w:rFonts w:ascii="Arial" w:hAnsi="Arial" w:cs="Arial"/>
                <w:b/>
                <w:sz w:val="17"/>
                <w:szCs w:val="17"/>
              </w:rPr>
              <w:t>134,639,006</w:t>
            </w:r>
          </w:p>
        </w:tc>
      </w:tr>
      <w:tr w:rsidR="008B2E49"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color w:val="000000"/>
                <w:sz w:val="17"/>
                <w:szCs w:val="17"/>
              </w:rPr>
            </w:pPr>
            <w:r w:rsidRPr="002D70DA">
              <w:rPr>
                <w:rFonts w:ascii="Arial" w:hAnsi="Arial" w:cs="Arial"/>
                <w:color w:val="000000"/>
                <w:sz w:val="17"/>
                <w:szCs w:val="17"/>
              </w:rPr>
              <w:t> </w:t>
            </w:r>
          </w:p>
        </w:tc>
        <w:tc>
          <w:tcPr>
            <w:tcW w:w="3087" w:type="dxa"/>
            <w:tcBorders>
              <w:top w:val="nil"/>
              <w:left w:val="nil"/>
              <w:bottom w:val="single" w:sz="4" w:space="0" w:color="auto"/>
              <w:right w:val="single" w:sz="4" w:space="0" w:color="auto"/>
            </w:tcBorders>
            <w:shd w:val="clear" w:color="000000" w:fill="FFFFFF"/>
            <w:hideMark/>
          </w:tcPr>
          <w:p w:rsidR="008B2E49" w:rsidRPr="008B2E49" w:rsidRDefault="008B2E49" w:rsidP="008B2E49">
            <w:pPr>
              <w:jc w:val="right"/>
              <w:rPr>
                <w:rFonts w:ascii="Arial" w:hAnsi="Arial" w:cs="Arial"/>
                <w:sz w:val="17"/>
                <w:szCs w:val="17"/>
              </w:rPr>
            </w:pPr>
          </w:p>
        </w:tc>
      </w:tr>
      <w:tr w:rsidR="008B2E49" w:rsidRPr="002D70DA" w:rsidTr="00791E59">
        <w:trPr>
          <w:trHeight w:val="32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Rectificaciones de 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5C4CB4" w:rsidP="00FC36E3">
            <w:pPr>
              <w:jc w:val="right"/>
              <w:rPr>
                <w:rFonts w:ascii="Arial" w:hAnsi="Arial" w:cs="Arial"/>
                <w:b/>
                <w:sz w:val="17"/>
                <w:szCs w:val="17"/>
              </w:rPr>
            </w:pPr>
            <w:r>
              <w:rPr>
                <w:rFonts w:ascii="Arial" w:hAnsi="Arial" w:cs="Arial"/>
                <w:b/>
                <w:sz w:val="17"/>
                <w:szCs w:val="17"/>
              </w:rPr>
              <w:t>0</w:t>
            </w:r>
          </w:p>
        </w:tc>
      </w:tr>
    </w:tbl>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rsidP="00730BB8">
      <w:pPr>
        <w:spacing w:before="80" w:line="250" w:lineRule="exact"/>
        <w:ind w:left="709"/>
        <w:jc w:val="both"/>
        <w:rPr>
          <w:rFonts w:ascii="Arial" w:eastAsia="Calibri" w:hAnsi="Arial" w:cs="Arial"/>
          <w:spacing w:val="-1"/>
          <w:sz w:val="17"/>
          <w:szCs w:val="17"/>
        </w:rPr>
      </w:pPr>
      <w:r w:rsidRPr="00730BB8">
        <w:rPr>
          <w:rFonts w:ascii="Arial" w:eastAsia="Calibri" w:hAnsi="Arial" w:cs="Arial"/>
          <w:spacing w:val="-1"/>
          <w:sz w:val="17"/>
          <w:szCs w:val="17"/>
        </w:rPr>
        <w:t>Revalúos</w:t>
      </w:r>
      <w:r w:rsidR="0091188F">
        <w:rPr>
          <w:rFonts w:ascii="Arial" w:eastAsia="Calibri" w:hAnsi="Arial" w:cs="Arial"/>
          <w:spacing w:val="-1"/>
          <w:sz w:val="17"/>
          <w:szCs w:val="17"/>
        </w:rPr>
        <w:t xml:space="preserve"> registrados por </w:t>
      </w:r>
      <w:r w:rsidR="00943C00">
        <w:rPr>
          <w:rFonts w:ascii="Arial" w:eastAsia="Calibri" w:hAnsi="Arial" w:cs="Arial"/>
          <w:spacing w:val="-1"/>
          <w:sz w:val="17"/>
          <w:szCs w:val="17"/>
        </w:rPr>
        <w:t>e</w:t>
      </w:r>
      <w:r>
        <w:rPr>
          <w:rFonts w:ascii="Arial" w:eastAsia="Calibri" w:hAnsi="Arial" w:cs="Arial"/>
          <w:spacing w:val="-1"/>
          <w:sz w:val="17"/>
          <w:szCs w:val="17"/>
        </w:rPr>
        <w:t>l</w:t>
      </w:r>
      <w:r w:rsidR="00943C00">
        <w:rPr>
          <w:rFonts w:ascii="Arial" w:eastAsia="Calibri" w:hAnsi="Arial" w:cs="Arial"/>
          <w:spacing w:val="-1"/>
          <w:sz w:val="17"/>
          <w:szCs w:val="17"/>
        </w:rPr>
        <w:t xml:space="preserve"> </w:t>
      </w:r>
      <w:r w:rsidR="00943C00" w:rsidRPr="00943C00">
        <w:rPr>
          <w:rFonts w:ascii="Arial" w:eastAsia="Calibri" w:hAnsi="Arial" w:cs="Arial"/>
          <w:spacing w:val="-1"/>
          <w:sz w:val="17"/>
          <w:szCs w:val="17"/>
        </w:rPr>
        <w:t>Fideicomiso Promotor de Proyectos Económicos y Bienestar Social</w:t>
      </w:r>
      <w:r w:rsidR="00943C00">
        <w:rPr>
          <w:rFonts w:ascii="Arial" w:eastAsia="Calibri" w:hAnsi="Arial" w:cs="Arial"/>
          <w:spacing w:val="-1"/>
          <w:sz w:val="17"/>
          <w:szCs w:val="17"/>
        </w:rPr>
        <w:t xml:space="preserve"> por un importe de </w:t>
      </w:r>
      <w:r w:rsidR="00943C00" w:rsidRPr="00943C00">
        <w:rPr>
          <w:rFonts w:ascii="Arial" w:eastAsia="Calibri" w:hAnsi="Arial" w:cs="Arial"/>
          <w:spacing w:val="-1"/>
          <w:sz w:val="17"/>
          <w:szCs w:val="17"/>
        </w:rPr>
        <w:t>344,376,830</w:t>
      </w:r>
      <w:r>
        <w:rPr>
          <w:rFonts w:ascii="Arial" w:eastAsia="Calibri" w:hAnsi="Arial" w:cs="Arial"/>
          <w:spacing w:val="-1"/>
          <w:sz w:val="17"/>
          <w:szCs w:val="17"/>
        </w:rPr>
        <w:t xml:space="preserve"> </w:t>
      </w:r>
      <w:r w:rsidR="00943C00">
        <w:rPr>
          <w:rFonts w:ascii="Arial" w:eastAsia="Calibri" w:hAnsi="Arial" w:cs="Arial"/>
          <w:spacing w:val="-1"/>
          <w:sz w:val="17"/>
          <w:szCs w:val="17"/>
        </w:rPr>
        <w:t xml:space="preserve">y por el </w:t>
      </w:r>
      <w:r w:rsidR="005C4CB4" w:rsidRPr="005C4CB4">
        <w:rPr>
          <w:rFonts w:ascii="Arial" w:eastAsia="Calibri" w:hAnsi="Arial" w:cs="Arial"/>
          <w:spacing w:val="-1"/>
          <w:sz w:val="17"/>
          <w:szCs w:val="17"/>
        </w:rPr>
        <w:t>Fideicomiso Promotor de Proyectos Económicos y Bienestar Social</w:t>
      </w:r>
      <w:r w:rsidR="005C4CB4">
        <w:rPr>
          <w:rFonts w:ascii="Arial" w:eastAsia="Calibri" w:hAnsi="Arial" w:cs="Arial"/>
          <w:spacing w:val="-1"/>
          <w:sz w:val="17"/>
          <w:szCs w:val="17"/>
        </w:rPr>
        <w:t>.</w:t>
      </w:r>
    </w:p>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C462F7" w:rsidRPr="002D70DA" w:rsidRDefault="00C462F7">
      <w:pPr>
        <w:rPr>
          <w:rFonts w:ascii="Arial" w:eastAsia="Calibri" w:hAnsi="Arial" w:cs="Arial"/>
          <w:spacing w:val="-1"/>
          <w:sz w:val="17"/>
          <w:szCs w:val="17"/>
        </w:rPr>
      </w:pPr>
      <w:r w:rsidRPr="002D70DA">
        <w:rPr>
          <w:rFonts w:ascii="Arial" w:eastAsia="Calibri" w:hAnsi="Arial" w:cs="Arial"/>
          <w:spacing w:val="-1"/>
          <w:sz w:val="17"/>
          <w:szCs w:val="17"/>
        </w:rPr>
        <w:br w:type="page"/>
      </w:r>
    </w:p>
    <w:p w:rsidR="00F97BAC" w:rsidRPr="00517326" w:rsidRDefault="00F97BAC"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517326">
        <w:rPr>
          <w:rFonts w:ascii="Arial" w:hAnsi="Arial" w:cs="Arial"/>
          <w:b/>
          <w:sz w:val="17"/>
          <w:szCs w:val="17"/>
        </w:rPr>
        <w:lastRenderedPageBreak/>
        <w:t xml:space="preserve">Notas al Estado de </w:t>
      </w:r>
      <w:r w:rsidR="00E723B7" w:rsidRPr="00517326">
        <w:rPr>
          <w:rFonts w:ascii="Arial" w:hAnsi="Arial" w:cs="Arial"/>
          <w:b/>
          <w:sz w:val="17"/>
          <w:szCs w:val="17"/>
        </w:rPr>
        <w:t>Flujos de Efectivo</w:t>
      </w:r>
    </w:p>
    <w:p w:rsidR="00F97BAC" w:rsidRPr="002D70DA" w:rsidRDefault="00E723B7" w:rsidP="00F97BAC">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Efectivo y equivalentes</w:t>
      </w:r>
    </w:p>
    <w:p w:rsidR="00E72587" w:rsidRPr="002D70DA" w:rsidRDefault="00E72587" w:rsidP="0081697F">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rsidR="00E72587" w:rsidRPr="002D70DA" w:rsidRDefault="00E72587" w:rsidP="00E7258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E72587" w:rsidRPr="002D70DA" w:rsidTr="0081697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72587"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AE626F" w:rsidP="00C91571">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AE626F" w:rsidP="00C91571">
            <w:pPr>
              <w:jc w:val="center"/>
              <w:rPr>
                <w:rFonts w:ascii="Arial" w:hAnsi="Arial" w:cs="Arial"/>
                <w:b/>
                <w:bCs/>
                <w:color w:val="000000"/>
                <w:sz w:val="17"/>
                <w:szCs w:val="17"/>
              </w:rPr>
            </w:pPr>
            <w:r>
              <w:rPr>
                <w:rFonts w:ascii="Arial" w:hAnsi="Arial" w:cs="Arial"/>
                <w:b/>
                <w:bCs/>
                <w:color w:val="000000"/>
                <w:sz w:val="17"/>
                <w:szCs w:val="17"/>
              </w:rPr>
              <w:t>2019</w:t>
            </w:r>
          </w:p>
        </w:tc>
      </w:tr>
      <w:tr w:rsidR="000A1173"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0A1173" w:rsidRPr="002D70DA" w:rsidRDefault="000A1173" w:rsidP="000A1173">
            <w:pPr>
              <w:rPr>
                <w:rFonts w:ascii="Arial" w:hAnsi="Arial" w:cs="Arial"/>
                <w:color w:val="000000"/>
                <w:sz w:val="17"/>
                <w:szCs w:val="17"/>
              </w:rPr>
            </w:pPr>
            <w:r w:rsidRPr="002D70DA">
              <w:rPr>
                <w:rFonts w:ascii="Arial" w:hAnsi="Arial" w:cs="Arial"/>
                <w:color w:val="000000"/>
                <w:sz w:val="17"/>
                <w:szCs w:val="17"/>
              </w:rPr>
              <w:t>Efectivo</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sz w:val="17"/>
                <w:szCs w:val="17"/>
              </w:rPr>
            </w:pPr>
            <w:r w:rsidRPr="000A1173">
              <w:rPr>
                <w:rFonts w:ascii="Arial" w:hAnsi="Arial" w:cs="Arial"/>
                <w:sz w:val="17"/>
                <w:szCs w:val="17"/>
              </w:rPr>
              <w:t xml:space="preserve">10,000 </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sz w:val="17"/>
                <w:szCs w:val="17"/>
              </w:rPr>
            </w:pPr>
            <w:r w:rsidRPr="000A1173">
              <w:rPr>
                <w:rFonts w:ascii="Arial" w:hAnsi="Arial" w:cs="Arial"/>
                <w:sz w:val="17"/>
                <w:szCs w:val="17"/>
              </w:rPr>
              <w:t xml:space="preserve"> 10,000 </w:t>
            </w:r>
          </w:p>
        </w:tc>
      </w:tr>
      <w:tr w:rsidR="000A1173"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0A1173" w:rsidRPr="002D70DA" w:rsidRDefault="000A1173" w:rsidP="000A1173">
            <w:pPr>
              <w:rPr>
                <w:rFonts w:ascii="Arial" w:hAnsi="Arial" w:cs="Arial"/>
                <w:color w:val="000000"/>
                <w:sz w:val="17"/>
                <w:szCs w:val="17"/>
              </w:rPr>
            </w:pPr>
            <w:r w:rsidRPr="002D70DA">
              <w:rPr>
                <w:rFonts w:ascii="Arial" w:hAnsi="Arial" w:cs="Arial"/>
                <w:color w:val="000000"/>
                <w:sz w:val="17"/>
                <w:szCs w:val="17"/>
              </w:rPr>
              <w:t>Efectivo en Bancos –Tesorería</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sz w:val="17"/>
                <w:szCs w:val="17"/>
              </w:rPr>
            </w:pPr>
            <w:r w:rsidRPr="000A1173">
              <w:rPr>
                <w:rFonts w:ascii="Arial" w:hAnsi="Arial" w:cs="Arial"/>
                <w:sz w:val="17"/>
                <w:szCs w:val="17"/>
              </w:rPr>
              <w:t xml:space="preserve">-15,352,078 </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sz w:val="17"/>
                <w:szCs w:val="17"/>
              </w:rPr>
            </w:pPr>
            <w:r w:rsidRPr="000A1173">
              <w:rPr>
                <w:rFonts w:ascii="Arial" w:hAnsi="Arial" w:cs="Arial"/>
                <w:sz w:val="17"/>
                <w:szCs w:val="17"/>
              </w:rPr>
              <w:t xml:space="preserve"> 1,655,734 </w:t>
            </w:r>
          </w:p>
        </w:tc>
      </w:tr>
      <w:tr w:rsidR="000A1173"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0A1173" w:rsidRPr="002D70DA" w:rsidRDefault="000A1173" w:rsidP="000A1173">
            <w:pPr>
              <w:rPr>
                <w:rFonts w:ascii="Arial" w:hAnsi="Arial" w:cs="Arial"/>
                <w:color w:val="000000"/>
                <w:sz w:val="17"/>
                <w:szCs w:val="17"/>
              </w:rPr>
            </w:pPr>
            <w:r w:rsidRPr="002D70DA">
              <w:rPr>
                <w:rFonts w:ascii="Arial" w:hAnsi="Arial" w:cs="Arial"/>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rsidR="000A1173" w:rsidRPr="00586AD6" w:rsidRDefault="000A1173" w:rsidP="000A1173">
            <w:pPr>
              <w:jc w:val="right"/>
              <w:rPr>
                <w:rFonts w:ascii="Arial" w:hAnsi="Arial" w:cs="Arial"/>
                <w:sz w:val="17"/>
                <w:szCs w:val="17"/>
              </w:rPr>
            </w:pPr>
            <w:r w:rsidRPr="00586AD6">
              <w:rPr>
                <w:rFonts w:ascii="Arial" w:hAnsi="Arial" w:cs="Arial"/>
                <w:sz w:val="17"/>
                <w:szCs w:val="17"/>
              </w:rPr>
              <w:t xml:space="preserve"> </w:t>
            </w:r>
            <w:r w:rsidRPr="000A1173">
              <w:rPr>
                <w:rFonts w:ascii="Arial" w:hAnsi="Arial" w:cs="Arial"/>
                <w:sz w:val="17"/>
                <w:szCs w:val="17"/>
              </w:rPr>
              <w:t>16,377,825</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sz w:val="17"/>
                <w:szCs w:val="17"/>
              </w:rPr>
            </w:pPr>
            <w:r w:rsidRPr="000A1173">
              <w:rPr>
                <w:rFonts w:ascii="Arial" w:hAnsi="Arial" w:cs="Arial"/>
                <w:sz w:val="17"/>
                <w:szCs w:val="17"/>
              </w:rPr>
              <w:t xml:space="preserve"> 18,209,979 </w:t>
            </w:r>
          </w:p>
        </w:tc>
      </w:tr>
      <w:tr w:rsidR="000A1173" w:rsidRPr="002D70DA" w:rsidTr="009831D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0A1173" w:rsidRPr="002D70DA" w:rsidRDefault="000A1173" w:rsidP="000A1173">
            <w:pPr>
              <w:jc w:val="center"/>
              <w:rPr>
                <w:rFonts w:ascii="Arial" w:hAnsi="Arial" w:cs="Arial"/>
                <w:b/>
                <w:bCs/>
                <w:color w:val="000000"/>
                <w:sz w:val="17"/>
                <w:szCs w:val="17"/>
              </w:rPr>
            </w:pPr>
            <w:r w:rsidRPr="002D70DA">
              <w:rPr>
                <w:rFonts w:ascii="Arial" w:hAnsi="Arial" w:cs="Arial"/>
                <w:b/>
                <w:bCs/>
                <w:color w:val="000000"/>
                <w:sz w:val="17"/>
                <w:szCs w:val="17"/>
              </w:rPr>
              <w:t>Total de Efectivo y Equivalentes</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b/>
                <w:sz w:val="17"/>
                <w:szCs w:val="17"/>
              </w:rPr>
            </w:pPr>
            <w:r w:rsidRPr="000A1173">
              <w:rPr>
                <w:rFonts w:ascii="Arial" w:hAnsi="Arial" w:cs="Arial"/>
                <w:b/>
                <w:sz w:val="17"/>
                <w:szCs w:val="17"/>
              </w:rPr>
              <w:t>1,035,746</w:t>
            </w:r>
          </w:p>
        </w:tc>
        <w:tc>
          <w:tcPr>
            <w:tcW w:w="2180" w:type="dxa"/>
            <w:tcBorders>
              <w:top w:val="nil"/>
              <w:left w:val="nil"/>
              <w:bottom w:val="single" w:sz="4" w:space="0" w:color="auto"/>
              <w:right w:val="single" w:sz="4" w:space="0" w:color="auto"/>
            </w:tcBorders>
            <w:shd w:val="clear" w:color="000000" w:fill="FFFFFF"/>
          </w:tcPr>
          <w:p w:rsidR="000A1173" w:rsidRPr="000A1173" w:rsidRDefault="000A1173" w:rsidP="000A1173">
            <w:pPr>
              <w:jc w:val="right"/>
              <w:rPr>
                <w:rFonts w:ascii="Arial" w:hAnsi="Arial" w:cs="Arial"/>
                <w:b/>
                <w:sz w:val="17"/>
                <w:szCs w:val="17"/>
              </w:rPr>
            </w:pPr>
            <w:r w:rsidRPr="000A1173">
              <w:rPr>
                <w:rFonts w:ascii="Arial" w:hAnsi="Arial" w:cs="Arial"/>
                <w:b/>
                <w:sz w:val="17"/>
                <w:szCs w:val="17"/>
              </w:rPr>
              <w:t xml:space="preserve"> 19,875,713 </w:t>
            </w:r>
          </w:p>
        </w:tc>
      </w:tr>
    </w:tbl>
    <w:p w:rsidR="00E72587" w:rsidRPr="002D70DA" w:rsidRDefault="00E72587" w:rsidP="00F97BAC">
      <w:pPr>
        <w:spacing w:before="80" w:line="250" w:lineRule="exact"/>
        <w:ind w:left="709"/>
        <w:jc w:val="both"/>
        <w:rPr>
          <w:rFonts w:ascii="Arial" w:eastAsia="Calibri" w:hAnsi="Arial" w:cs="Arial"/>
          <w:spacing w:val="-1"/>
          <w:sz w:val="17"/>
          <w:szCs w:val="17"/>
        </w:rPr>
      </w:pPr>
    </w:p>
    <w:p w:rsidR="00E72587" w:rsidRPr="002D70DA" w:rsidRDefault="00DF74BA"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detallan las adquisiciones de bienes muebles e inmuebles con su monto global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 xml:space="preserve"> y, en su caso, el porcentaje de e</w:t>
      </w:r>
      <w:r w:rsidR="00971DBA">
        <w:rPr>
          <w:rFonts w:ascii="Arial" w:eastAsia="Calibri" w:hAnsi="Arial" w:cs="Arial"/>
          <w:spacing w:val="-1"/>
          <w:sz w:val="17"/>
          <w:szCs w:val="17"/>
        </w:rPr>
        <w:t>s</w:t>
      </w:r>
      <w:r w:rsidRPr="002D70DA">
        <w:rPr>
          <w:rFonts w:ascii="Arial" w:eastAsia="Calibri" w:hAnsi="Arial" w:cs="Arial"/>
          <w:spacing w:val="-1"/>
          <w:sz w:val="17"/>
          <w:szCs w:val="17"/>
        </w:rPr>
        <w:t xml:space="preserve">tas adquisiciones que fueron realizadas mediante subsidios de capital, se revela el importe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AE626F">
        <w:rPr>
          <w:rFonts w:ascii="Arial" w:eastAsia="Calibri" w:hAnsi="Arial" w:cs="Arial"/>
          <w:spacing w:val="-1"/>
          <w:sz w:val="17"/>
          <w:szCs w:val="17"/>
        </w:rPr>
        <w:t>2020</w:t>
      </w:r>
      <w:r w:rsidRPr="002D70DA">
        <w:rPr>
          <w:rFonts w:ascii="Arial" w:eastAsia="Calibri" w:hAnsi="Arial" w:cs="Arial"/>
          <w:spacing w:val="-1"/>
          <w:sz w:val="17"/>
          <w:szCs w:val="17"/>
        </w:rPr>
        <w:t xml:space="preserve"> de los pagos que durante el ejercicio se hicieron por la compra de los elementos citados:</w:t>
      </w:r>
    </w:p>
    <w:p w:rsidR="00DF74BA" w:rsidRPr="002D70DA" w:rsidRDefault="00DF74BA" w:rsidP="00DF74BA">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11440" w:type="dxa"/>
        <w:jc w:val="center"/>
        <w:tblCellMar>
          <w:left w:w="70" w:type="dxa"/>
          <w:right w:w="70" w:type="dxa"/>
        </w:tblCellMar>
        <w:tblLook w:val="04A0" w:firstRow="1" w:lastRow="0" w:firstColumn="1" w:lastColumn="0" w:noHBand="0" w:noVBand="1"/>
      </w:tblPr>
      <w:tblGrid>
        <w:gridCol w:w="4900"/>
        <w:gridCol w:w="2180"/>
        <w:gridCol w:w="2180"/>
        <w:gridCol w:w="2180"/>
      </w:tblGrid>
      <w:tr w:rsidR="00DF74BA" w:rsidRPr="002D70DA" w:rsidTr="0081697F">
        <w:trPr>
          <w:trHeight w:val="96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Adquisiciones por actividades de inversión</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Monto global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Porcentaje de adquisición con subsidios de sector central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Importe de pagos por la compra</w:t>
            </w:r>
          </w:p>
        </w:tc>
      </w:tr>
      <w:tr w:rsidR="00DF74BA" w:rsidRPr="002D70DA" w:rsidTr="002B0CD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4BA" w:rsidRPr="002D70DA" w:rsidRDefault="00DF74BA">
            <w:pPr>
              <w:rPr>
                <w:rFonts w:ascii="Arial" w:hAnsi="Arial" w:cs="Arial"/>
                <w:color w:val="000000"/>
                <w:sz w:val="17"/>
                <w:szCs w:val="17"/>
              </w:rPr>
            </w:pPr>
            <w:r w:rsidRPr="002D70DA">
              <w:rPr>
                <w:rFonts w:ascii="Arial" w:hAnsi="Arial" w:cs="Arial"/>
                <w:color w:val="000000"/>
                <w:sz w:val="17"/>
                <w:szCs w:val="17"/>
              </w:rPr>
              <w:t>Bienes Muebles</w:t>
            </w:r>
          </w:p>
        </w:tc>
        <w:tc>
          <w:tcPr>
            <w:tcW w:w="2180" w:type="dxa"/>
            <w:tcBorders>
              <w:top w:val="single" w:sz="4" w:space="0" w:color="auto"/>
              <w:left w:val="nil"/>
              <w:bottom w:val="single" w:sz="4" w:space="0" w:color="auto"/>
              <w:right w:val="single" w:sz="4" w:space="0" w:color="auto"/>
            </w:tcBorders>
            <w:shd w:val="clear" w:color="auto" w:fill="auto"/>
            <w:vAlign w:val="center"/>
          </w:tcPr>
          <w:p w:rsidR="00DF74BA" w:rsidRPr="002D70DA" w:rsidRDefault="00C944AD">
            <w:pPr>
              <w:jc w:val="right"/>
              <w:rPr>
                <w:rFonts w:ascii="Arial" w:hAnsi="Arial" w:cs="Arial"/>
                <w:b/>
                <w:bCs/>
                <w:color w:val="000000"/>
                <w:sz w:val="17"/>
                <w:szCs w:val="17"/>
              </w:rPr>
            </w:pPr>
            <w:r>
              <w:rPr>
                <w:rFonts w:ascii="Arial" w:hAnsi="Arial" w:cs="Arial"/>
                <w:b/>
                <w:bCs/>
                <w:color w:val="000000"/>
                <w:sz w:val="17"/>
                <w:szCs w:val="17"/>
              </w:rPr>
              <w:t>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971DBA">
            <w:pPr>
              <w:jc w:val="center"/>
              <w:rPr>
                <w:rFonts w:ascii="Arial" w:hAnsi="Arial" w:cs="Arial"/>
                <w:b/>
                <w:bCs/>
                <w:color w:val="000000"/>
                <w:sz w:val="17"/>
                <w:szCs w:val="17"/>
              </w:rPr>
            </w:pPr>
            <w:r>
              <w:rPr>
                <w:rFonts w:ascii="Arial" w:hAnsi="Arial" w:cs="Arial"/>
                <w:b/>
                <w:bCs/>
                <w:color w:val="000000"/>
                <w:sz w:val="17"/>
                <w:szCs w:val="17"/>
              </w:rPr>
              <w:t>100 por ciento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C944AD">
            <w:pPr>
              <w:jc w:val="right"/>
              <w:rPr>
                <w:rFonts w:ascii="Arial" w:hAnsi="Arial" w:cs="Arial"/>
                <w:b/>
                <w:bCs/>
                <w:color w:val="000000"/>
                <w:sz w:val="17"/>
                <w:szCs w:val="17"/>
              </w:rPr>
            </w:pPr>
            <w:r>
              <w:rPr>
                <w:rFonts w:ascii="Arial" w:hAnsi="Arial" w:cs="Arial"/>
                <w:b/>
                <w:bCs/>
                <w:color w:val="000000"/>
                <w:sz w:val="17"/>
                <w:szCs w:val="17"/>
              </w:rPr>
              <w:t>0</w:t>
            </w:r>
          </w:p>
        </w:tc>
      </w:tr>
    </w:tbl>
    <w:p w:rsidR="00DF74BA" w:rsidRPr="002D70DA" w:rsidRDefault="00DF74BA" w:rsidP="00F97BAC">
      <w:pPr>
        <w:spacing w:before="80" w:line="250" w:lineRule="exact"/>
        <w:ind w:left="709"/>
        <w:jc w:val="both"/>
        <w:rPr>
          <w:rFonts w:ascii="Arial" w:eastAsia="Calibri" w:hAnsi="Arial" w:cs="Arial"/>
          <w:spacing w:val="-1"/>
          <w:sz w:val="17"/>
          <w:szCs w:val="17"/>
        </w:rPr>
      </w:pPr>
    </w:p>
    <w:p w:rsidR="00B811F0" w:rsidRDefault="00B811F0">
      <w:pPr>
        <w:rPr>
          <w:rFonts w:ascii="Arial" w:eastAsia="Calibri" w:hAnsi="Arial" w:cs="Arial"/>
          <w:spacing w:val="-1"/>
          <w:sz w:val="17"/>
          <w:szCs w:val="17"/>
        </w:rPr>
      </w:pPr>
      <w:r>
        <w:rPr>
          <w:rFonts w:ascii="Arial" w:eastAsia="Calibri" w:hAnsi="Arial" w:cs="Arial"/>
          <w:spacing w:val="-1"/>
          <w:sz w:val="17"/>
          <w:szCs w:val="17"/>
        </w:rPr>
        <w:br w:type="page"/>
      </w:r>
    </w:p>
    <w:p w:rsidR="0092346E" w:rsidRPr="002D70DA" w:rsidRDefault="0092346E" w:rsidP="00C20CBD">
      <w:pPr>
        <w:numPr>
          <w:ilvl w:val="0"/>
          <w:numId w:val="23"/>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lastRenderedPageBreak/>
        <w:t xml:space="preserve">Notas de </w:t>
      </w:r>
      <w:r>
        <w:rPr>
          <w:rFonts w:ascii="Arial" w:hAnsi="Arial" w:cs="Arial"/>
          <w:b/>
          <w:sz w:val="17"/>
          <w:szCs w:val="17"/>
        </w:rPr>
        <w:t>Memoria</w:t>
      </w:r>
      <w:r w:rsidRPr="002D70DA">
        <w:rPr>
          <w:rFonts w:ascii="Arial" w:hAnsi="Arial" w:cs="Arial"/>
          <w:b/>
          <w:sz w:val="17"/>
          <w:szCs w:val="17"/>
        </w:rPr>
        <w:t>:</w:t>
      </w:r>
    </w:p>
    <w:p w:rsidR="00C20CBD" w:rsidRPr="00A67440"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Introducción</w:t>
      </w:r>
    </w:p>
    <w:p w:rsidR="00C20CBD" w:rsidRPr="00797197" w:rsidRDefault="00C20CBD" w:rsidP="00C20CBD">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Los Estados Financieros de los entes públicos, proveen de información financiera a los p</w:t>
      </w:r>
      <w:bookmarkStart w:id="0" w:name="_GoBack"/>
      <w:bookmarkEnd w:id="0"/>
      <w:r w:rsidRPr="00797197">
        <w:rPr>
          <w:rFonts w:ascii="Arial" w:eastAsia="Calibri" w:hAnsi="Arial" w:cs="Arial"/>
          <w:spacing w:val="-1"/>
          <w:sz w:val="17"/>
          <w:szCs w:val="17"/>
        </w:rPr>
        <w:t>rincipales usuarios de la misma, entre ellos está la H. Legislatura del Estado de Querétaro, así como la ciudadanía en general que demanda información sobre la situación contable de</w:t>
      </w:r>
      <w:r>
        <w:rPr>
          <w:rFonts w:ascii="Arial" w:eastAsia="Calibri" w:hAnsi="Arial" w:cs="Arial"/>
          <w:spacing w:val="-1"/>
          <w:sz w:val="17"/>
          <w:szCs w:val="17"/>
        </w:rPr>
        <w:t xml:space="preserve"> </w:t>
      </w:r>
      <w:r w:rsidRPr="00F50AC7">
        <w:rPr>
          <w:rFonts w:ascii="Arial" w:eastAsia="Calibri" w:hAnsi="Arial" w:cs="Arial"/>
          <w:spacing w:val="-1"/>
          <w:sz w:val="17"/>
          <w:szCs w:val="17"/>
        </w:rPr>
        <w:t>l</w:t>
      </w:r>
      <w:r>
        <w:rPr>
          <w:rFonts w:ascii="Arial" w:eastAsia="Calibri" w:hAnsi="Arial" w:cs="Arial"/>
          <w:spacing w:val="-1"/>
          <w:sz w:val="17"/>
          <w:szCs w:val="17"/>
        </w:rPr>
        <w:t>as Órganos Autónomos del Estado de Querétaro</w:t>
      </w:r>
      <w:r w:rsidRPr="00797197">
        <w:rPr>
          <w:rFonts w:ascii="Arial" w:eastAsia="Calibri" w:hAnsi="Arial" w:cs="Arial"/>
          <w:spacing w:val="-1"/>
          <w:sz w:val="17"/>
          <w:szCs w:val="17"/>
        </w:rPr>
        <w:t>.</w:t>
      </w:r>
    </w:p>
    <w:p w:rsidR="00C20CBD" w:rsidRPr="00797197" w:rsidRDefault="00C20CBD" w:rsidP="00C20CBD">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objetivo del presente documento es la revelación del contexto y de los aspectos económicos</w:t>
      </w:r>
      <w:r>
        <w:rPr>
          <w:rFonts w:ascii="Arial" w:eastAsia="Calibri" w:hAnsi="Arial" w:cs="Arial"/>
          <w:spacing w:val="-1"/>
          <w:sz w:val="17"/>
          <w:szCs w:val="17"/>
        </w:rPr>
        <w:t xml:space="preserve"> </w:t>
      </w:r>
      <w:r w:rsidRPr="00797197">
        <w:rPr>
          <w:rFonts w:ascii="Arial" w:eastAsia="Calibri" w:hAnsi="Arial" w:cs="Arial"/>
          <w:spacing w:val="-1"/>
          <w:sz w:val="17"/>
          <w:szCs w:val="17"/>
        </w:rPr>
        <w:t xml:space="preserve">financieros más relevantes que influyeron en las decisiones del período, que comprende del 1 de </w:t>
      </w:r>
      <w:r>
        <w:rPr>
          <w:rFonts w:ascii="Arial" w:eastAsia="Calibri" w:hAnsi="Arial" w:cs="Arial"/>
          <w:spacing w:val="-1"/>
          <w:sz w:val="17"/>
          <w:szCs w:val="17"/>
        </w:rPr>
        <w:t>enero</w:t>
      </w:r>
      <w:r w:rsidRPr="00797197">
        <w:rPr>
          <w:rFonts w:ascii="Arial" w:eastAsia="Calibri" w:hAnsi="Arial" w:cs="Arial"/>
          <w:spacing w:val="-1"/>
          <w:sz w:val="17"/>
          <w:szCs w:val="17"/>
        </w:rPr>
        <w:t xml:space="preserve"> </w:t>
      </w:r>
      <w:r>
        <w:rPr>
          <w:rFonts w:ascii="Arial" w:eastAsia="Calibri" w:hAnsi="Arial" w:cs="Arial"/>
          <w:spacing w:val="-1"/>
          <w:sz w:val="17"/>
          <w:szCs w:val="17"/>
        </w:rPr>
        <w:t>al 31 de Diciembre del 2020</w:t>
      </w:r>
      <w:r w:rsidRPr="00797197">
        <w:rPr>
          <w:rFonts w:ascii="Arial" w:eastAsia="Calibri" w:hAnsi="Arial" w:cs="Arial"/>
          <w:spacing w:val="-1"/>
          <w:sz w:val="17"/>
          <w:szCs w:val="17"/>
        </w:rPr>
        <w:t>, y que se consideraron en la elaboración de los estados financieros para la mayor comprensión de los mismos y sus particularidades.</w:t>
      </w:r>
    </w:p>
    <w:p w:rsidR="00C20CBD" w:rsidRDefault="00C20CBD" w:rsidP="00C20CBD">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C20CBD" w:rsidRPr="00A67440" w:rsidRDefault="00C20CBD" w:rsidP="00C20CBD">
      <w:pPr>
        <w:spacing w:before="120" w:after="120" w:line="240" w:lineRule="exact"/>
        <w:jc w:val="both"/>
        <w:rPr>
          <w:rFonts w:ascii="Arial" w:eastAsia="Calibri" w:hAnsi="Arial" w:cs="Arial"/>
          <w:spacing w:val="-1"/>
          <w:sz w:val="17"/>
          <w:szCs w:val="17"/>
        </w:rPr>
      </w:pPr>
    </w:p>
    <w:p w:rsidR="00C20CBD" w:rsidRPr="00B84F0E"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807759">
        <w:rPr>
          <w:rFonts w:ascii="Arial" w:eastAsia="Calibri" w:hAnsi="Arial" w:cs="Arial"/>
          <w:b/>
          <w:spacing w:val="-1"/>
          <w:sz w:val="17"/>
          <w:szCs w:val="17"/>
        </w:rPr>
        <w:t>Panorama Económico y Financiero</w:t>
      </w:r>
    </w:p>
    <w:p w:rsidR="00C20CBD" w:rsidRPr="009A23C7" w:rsidRDefault="00C20CBD" w:rsidP="00C20CBD">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Según el último informe trimestral del Banco de México (BA</w:t>
      </w:r>
      <w:r>
        <w:rPr>
          <w:rFonts w:ascii="Arial" w:eastAsia="Calibri" w:hAnsi="Arial" w:cs="Arial"/>
          <w:spacing w:val="-1"/>
          <w:sz w:val="17"/>
          <w:szCs w:val="17"/>
        </w:rPr>
        <w:t>NXICO) correspondiente al tercer trimestre de 2020 (3T-2020) emitido el pasado 25</w:t>
      </w:r>
      <w:r w:rsidRPr="009A23C7">
        <w:rPr>
          <w:rFonts w:ascii="Arial" w:eastAsia="Calibri" w:hAnsi="Arial" w:cs="Arial"/>
          <w:spacing w:val="-1"/>
          <w:sz w:val="17"/>
          <w:szCs w:val="17"/>
        </w:rPr>
        <w:t xml:space="preserve"> de </w:t>
      </w:r>
      <w:r>
        <w:rPr>
          <w:rFonts w:ascii="Arial" w:eastAsia="Calibri" w:hAnsi="Arial" w:cs="Arial"/>
          <w:spacing w:val="-1"/>
          <w:sz w:val="17"/>
          <w:szCs w:val="17"/>
        </w:rPr>
        <w:t>noviembre</w:t>
      </w:r>
      <w:r w:rsidRPr="009A23C7">
        <w:rPr>
          <w:rFonts w:ascii="Arial" w:eastAsia="Calibri" w:hAnsi="Arial" w:cs="Arial"/>
          <w:spacing w:val="-1"/>
          <w:sz w:val="17"/>
          <w:szCs w:val="17"/>
        </w:rPr>
        <w:t xml:space="preserve"> de 2020, señala de manera general que el Entorno Económico y Financiero es el siguiente:</w:t>
      </w:r>
    </w:p>
    <w:p w:rsidR="00C20CBD" w:rsidRPr="00DA7696" w:rsidRDefault="00C20CBD" w:rsidP="00C20CBD">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La pandemia del COVID-19 implicó choques que afectaron a todos los países de manera generalizada, con repercusiones en la actividad económica, la inflación y las condiciones financieras globales.</w:t>
      </w:r>
    </w:p>
    <w:p w:rsidR="00C20CBD" w:rsidRPr="00DA7696" w:rsidRDefault="00C20CBD" w:rsidP="00C20CBD">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Después de una severa contracción en el segundo trimestre, en el tercero comenzó una recuperación, principalmente ante la reapertura de diversas actividades productivas. No obstante,</w:t>
      </w:r>
      <w:r>
        <w:rPr>
          <w:rFonts w:ascii="Arial" w:eastAsia="Calibri" w:hAnsi="Arial" w:cs="Arial"/>
          <w:spacing w:val="-1"/>
          <w:sz w:val="17"/>
          <w:szCs w:val="17"/>
        </w:rPr>
        <w:t xml:space="preserve"> se menciona que persistirá</w:t>
      </w:r>
      <w:r w:rsidRPr="00DA7696">
        <w:rPr>
          <w:rFonts w:ascii="Arial" w:eastAsia="Calibri" w:hAnsi="Arial" w:cs="Arial"/>
          <w:spacing w:val="-1"/>
          <w:sz w:val="17"/>
          <w:szCs w:val="17"/>
        </w:rPr>
        <w:t xml:space="preserve"> una elevada incertidumbre sobre el ritmo de la recuperación en los próximos trimestres.</w:t>
      </w:r>
    </w:p>
    <w:p w:rsidR="00C20CBD" w:rsidRPr="00DA7696" w:rsidRDefault="00C20CBD" w:rsidP="00C20CBD">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Este contexto presenta retos significativos para la recuperación de la economía mexicana, el mercado laboral y para el sistema financiero.</w:t>
      </w:r>
    </w:p>
    <w:p w:rsidR="00C20CBD" w:rsidRDefault="00C20CBD" w:rsidP="00C20CBD">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El Banco de México ha buscado conducir la política monetaria para propiciar un ajuste ordenado de los mercados nacionales y la economía en su conjunto, y así mantener el poder adquisitivo de la moneda nacional.</w:t>
      </w:r>
    </w:p>
    <w:p w:rsidR="00C20CBD" w:rsidRDefault="00C20CBD" w:rsidP="00C20CBD">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En el tema de las condiciones externas </w:t>
      </w:r>
      <w:r>
        <w:rPr>
          <w:rFonts w:ascii="Arial" w:eastAsia="Calibri" w:hAnsi="Arial" w:cs="Arial"/>
          <w:spacing w:val="-1"/>
          <w:sz w:val="17"/>
          <w:szCs w:val="17"/>
        </w:rPr>
        <w:t>se informa por parte de BANXICO que l</w:t>
      </w:r>
      <w:r w:rsidRPr="00922E34">
        <w:rPr>
          <w:rFonts w:ascii="Arial" w:eastAsia="Calibri" w:hAnsi="Arial" w:cs="Arial"/>
          <w:spacing w:val="-1"/>
          <w:sz w:val="17"/>
          <w:szCs w:val="17"/>
        </w:rPr>
        <w:t>a actividad económica mundial se ha</w:t>
      </w:r>
      <w:r>
        <w:rPr>
          <w:rFonts w:ascii="Arial" w:eastAsia="Calibri" w:hAnsi="Arial" w:cs="Arial"/>
          <w:spacing w:val="-1"/>
          <w:sz w:val="17"/>
          <w:szCs w:val="17"/>
        </w:rPr>
        <w:t xml:space="preserve"> ido</w:t>
      </w:r>
      <w:r w:rsidRPr="00922E34">
        <w:rPr>
          <w:rFonts w:ascii="Arial" w:eastAsia="Calibri" w:hAnsi="Arial" w:cs="Arial"/>
          <w:spacing w:val="-1"/>
          <w:sz w:val="17"/>
          <w:szCs w:val="17"/>
        </w:rPr>
        <w:t xml:space="preserve"> recupera</w:t>
      </w:r>
      <w:r>
        <w:rPr>
          <w:rFonts w:ascii="Arial" w:eastAsia="Calibri" w:hAnsi="Arial" w:cs="Arial"/>
          <w:spacing w:val="-1"/>
          <w:sz w:val="17"/>
          <w:szCs w:val="17"/>
        </w:rPr>
        <w:t>n</w:t>
      </w:r>
      <w:r w:rsidRPr="00922E34">
        <w:rPr>
          <w:rFonts w:ascii="Arial" w:eastAsia="Calibri" w:hAnsi="Arial" w:cs="Arial"/>
          <w:spacing w:val="-1"/>
          <w:sz w:val="17"/>
          <w:szCs w:val="17"/>
        </w:rPr>
        <w:t xml:space="preserve">do, de manera heterogénea entre países y su ritmo se ha </w:t>
      </w:r>
      <w:r>
        <w:rPr>
          <w:rFonts w:ascii="Arial" w:eastAsia="Calibri" w:hAnsi="Arial" w:cs="Arial"/>
          <w:spacing w:val="-1"/>
          <w:sz w:val="17"/>
          <w:szCs w:val="17"/>
        </w:rPr>
        <w:t xml:space="preserve">ido </w:t>
      </w:r>
      <w:r w:rsidRPr="00922E34">
        <w:rPr>
          <w:rFonts w:ascii="Arial" w:eastAsia="Calibri" w:hAnsi="Arial" w:cs="Arial"/>
          <w:spacing w:val="-1"/>
          <w:sz w:val="17"/>
          <w:szCs w:val="17"/>
        </w:rPr>
        <w:t>moderado desde julio. No obstante, aún no se alcanzan los niveles previos a la pandemia y persisten riesgos.</w:t>
      </w:r>
      <w:r>
        <w:rPr>
          <w:rFonts w:ascii="Arial" w:eastAsia="Calibri" w:hAnsi="Arial" w:cs="Arial"/>
          <w:spacing w:val="-1"/>
          <w:sz w:val="17"/>
          <w:szCs w:val="17"/>
        </w:rPr>
        <w:t xml:space="preserve"> </w:t>
      </w:r>
      <w:r w:rsidRPr="00877BA6">
        <w:rPr>
          <w:rFonts w:ascii="Arial" w:eastAsia="Calibri" w:hAnsi="Arial" w:cs="Arial"/>
          <w:spacing w:val="-1"/>
          <w:sz w:val="17"/>
          <w:szCs w:val="17"/>
        </w:rPr>
        <w:t>A pesar de la recuperación se sigue anticipando una fuerte contracción del PIB para 2020 y una</w:t>
      </w:r>
      <w:r>
        <w:rPr>
          <w:rFonts w:ascii="Arial" w:eastAsia="Calibri" w:hAnsi="Arial" w:cs="Arial"/>
          <w:spacing w:val="-1"/>
          <w:sz w:val="17"/>
          <w:szCs w:val="17"/>
        </w:rPr>
        <w:t xml:space="preserve"> </w:t>
      </w:r>
      <w:r w:rsidRPr="00877BA6">
        <w:rPr>
          <w:rFonts w:ascii="Arial" w:eastAsia="Calibri" w:hAnsi="Arial" w:cs="Arial"/>
          <w:spacing w:val="-1"/>
          <w:sz w:val="17"/>
          <w:szCs w:val="17"/>
        </w:rPr>
        <w:t>recuperación gradual en 2021. Dichas previsiones están sujetas a un alto grado de incertidumbre.</w:t>
      </w:r>
      <w:r>
        <w:rPr>
          <w:rFonts w:ascii="Arial" w:eastAsia="Calibri" w:hAnsi="Arial" w:cs="Arial"/>
          <w:spacing w:val="-1"/>
          <w:sz w:val="17"/>
          <w:szCs w:val="17"/>
        </w:rPr>
        <w:t xml:space="preserve"> </w:t>
      </w:r>
      <w:r w:rsidRPr="00877BA6">
        <w:rPr>
          <w:rFonts w:ascii="Arial" w:eastAsia="Calibri" w:hAnsi="Arial" w:cs="Arial"/>
          <w:spacing w:val="-1"/>
          <w:sz w:val="17"/>
          <w:szCs w:val="17"/>
        </w:rPr>
        <w:t>En las economías avanzadas, las inflaciones general y subyacente permanecieron en niveles bajos e inferiores a los objetivos de sus respectivos bancos centrales, si bien repuntaron los precios de la energía y algunas mercancías.</w:t>
      </w:r>
      <w:r>
        <w:rPr>
          <w:rFonts w:ascii="Arial" w:eastAsia="Calibri" w:hAnsi="Arial" w:cs="Arial"/>
          <w:spacing w:val="-1"/>
          <w:sz w:val="17"/>
          <w:szCs w:val="17"/>
        </w:rPr>
        <w:t xml:space="preserve"> </w:t>
      </w:r>
      <w:r w:rsidRPr="00C22216">
        <w:rPr>
          <w:rFonts w:ascii="Arial" w:eastAsia="Calibri" w:hAnsi="Arial" w:cs="Arial"/>
          <w:spacing w:val="-1"/>
          <w:sz w:val="17"/>
          <w:szCs w:val="17"/>
        </w:rPr>
        <w:t>Los principales bancos centrales de economías avanzadas han anunciado que mantendrán tasas de interés en niveles históricamente bajos y que utilizarán sus balances para propiciar un aumento sostenido de la demanda y la inflación.</w:t>
      </w:r>
      <w:r>
        <w:rPr>
          <w:rFonts w:ascii="Arial" w:eastAsia="Calibri" w:hAnsi="Arial" w:cs="Arial"/>
          <w:spacing w:val="-1"/>
          <w:sz w:val="17"/>
          <w:szCs w:val="17"/>
        </w:rPr>
        <w:t xml:space="preserve"> </w:t>
      </w:r>
      <w:r w:rsidRPr="00C22216">
        <w:rPr>
          <w:rFonts w:ascii="Arial" w:eastAsia="Calibri" w:hAnsi="Arial" w:cs="Arial"/>
          <w:spacing w:val="-1"/>
          <w:sz w:val="17"/>
          <w:szCs w:val="17"/>
        </w:rPr>
        <w:t>Después de los niveles mínimos observados en marzo y abril, los precios internacionales de materias</w:t>
      </w:r>
      <w:r>
        <w:rPr>
          <w:rFonts w:ascii="Arial" w:eastAsia="Calibri" w:hAnsi="Arial" w:cs="Arial"/>
          <w:spacing w:val="-1"/>
          <w:sz w:val="17"/>
          <w:szCs w:val="17"/>
        </w:rPr>
        <w:t xml:space="preserve"> </w:t>
      </w:r>
      <w:r w:rsidRPr="00C22216">
        <w:rPr>
          <w:rFonts w:ascii="Arial" w:eastAsia="Calibri" w:hAnsi="Arial" w:cs="Arial"/>
          <w:spacing w:val="-1"/>
          <w:sz w:val="17"/>
          <w:szCs w:val="17"/>
        </w:rPr>
        <w:t>primas han aumentado.</w:t>
      </w:r>
      <w:r>
        <w:rPr>
          <w:rFonts w:ascii="Arial" w:eastAsia="Calibri" w:hAnsi="Arial" w:cs="Arial"/>
          <w:spacing w:val="-1"/>
          <w:sz w:val="17"/>
          <w:szCs w:val="17"/>
        </w:rPr>
        <w:t xml:space="preserve"> </w:t>
      </w:r>
      <w:r w:rsidRPr="003140C0">
        <w:rPr>
          <w:rFonts w:ascii="Arial" w:eastAsia="Calibri" w:hAnsi="Arial" w:cs="Arial"/>
          <w:spacing w:val="-1"/>
          <w:sz w:val="17"/>
          <w:szCs w:val="17"/>
        </w:rPr>
        <w:t>En los últimos meses los mercados financieros internacionales mostraron un comportamiento positivo, impulsado por la gradual recuperación de la actividad económica mundial y los estímulos monetarios, fiscales y financieros implementados en las economías sistémicamente importantes.</w:t>
      </w:r>
      <w:r>
        <w:rPr>
          <w:rFonts w:ascii="Arial" w:eastAsia="Calibri" w:hAnsi="Arial" w:cs="Arial"/>
          <w:spacing w:val="-1"/>
          <w:sz w:val="17"/>
          <w:szCs w:val="17"/>
        </w:rPr>
        <w:t xml:space="preserve"> </w:t>
      </w:r>
      <w:r w:rsidRPr="00E3504C">
        <w:rPr>
          <w:rFonts w:ascii="Arial" w:eastAsia="Calibri" w:hAnsi="Arial" w:cs="Arial"/>
          <w:spacing w:val="-1"/>
          <w:sz w:val="17"/>
          <w:szCs w:val="17"/>
        </w:rPr>
        <w:t>En los últimos meses las economías emergentes registraron entradas netas de capital, principalmente</w:t>
      </w:r>
      <w:r>
        <w:rPr>
          <w:rFonts w:ascii="Arial" w:eastAsia="Calibri" w:hAnsi="Arial" w:cs="Arial"/>
          <w:spacing w:val="-1"/>
          <w:sz w:val="17"/>
          <w:szCs w:val="17"/>
        </w:rPr>
        <w:t xml:space="preserve"> </w:t>
      </w:r>
      <w:r w:rsidRPr="00E3504C">
        <w:rPr>
          <w:rFonts w:ascii="Arial" w:eastAsia="Calibri" w:hAnsi="Arial" w:cs="Arial"/>
          <w:spacing w:val="-1"/>
          <w:sz w:val="17"/>
          <w:szCs w:val="17"/>
        </w:rPr>
        <w:t>en activos de renta fija. El ajuste de los mercados cambiarios en diferentes economías emergentes ha sido heterogéneo y con episodios de volatilidad.</w:t>
      </w:r>
      <w:r>
        <w:rPr>
          <w:rFonts w:ascii="Arial" w:eastAsia="Calibri" w:hAnsi="Arial" w:cs="Arial"/>
          <w:spacing w:val="-1"/>
          <w:sz w:val="17"/>
          <w:szCs w:val="17"/>
        </w:rPr>
        <w:t xml:space="preserve"> </w:t>
      </w:r>
    </w:p>
    <w:p w:rsidR="00C20CBD" w:rsidRDefault="00C20CBD" w:rsidP="00C20CBD">
      <w:pPr>
        <w:spacing w:before="120" w:after="120" w:line="240" w:lineRule="exact"/>
        <w:jc w:val="both"/>
        <w:rPr>
          <w:rFonts w:ascii="Arial" w:eastAsia="Calibri" w:hAnsi="Arial" w:cs="Arial"/>
          <w:spacing w:val="-1"/>
          <w:sz w:val="17"/>
          <w:szCs w:val="17"/>
        </w:rPr>
      </w:pPr>
    </w:p>
    <w:p w:rsidR="00C20CBD" w:rsidRDefault="00C20CBD" w:rsidP="00C20CBD">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Con respecto a la evolución de la Economía Mexicana, BANXICO informó que </w:t>
      </w:r>
      <w:r>
        <w:rPr>
          <w:rFonts w:ascii="Arial" w:eastAsia="Calibri" w:hAnsi="Arial" w:cs="Arial"/>
          <w:spacing w:val="-1"/>
          <w:sz w:val="17"/>
          <w:szCs w:val="17"/>
        </w:rPr>
        <w:t>en el 3</w:t>
      </w:r>
      <w:r w:rsidRPr="005E4472">
        <w:rPr>
          <w:rFonts w:ascii="Arial" w:eastAsia="Calibri" w:hAnsi="Arial" w:cs="Arial"/>
          <w:spacing w:val="-1"/>
          <w:sz w:val="17"/>
          <w:szCs w:val="17"/>
        </w:rPr>
        <w:t xml:space="preserve">T-2020 </w:t>
      </w:r>
      <w:r>
        <w:rPr>
          <w:rFonts w:ascii="Arial" w:eastAsia="Calibri" w:hAnsi="Arial" w:cs="Arial"/>
          <w:spacing w:val="-1"/>
          <w:sz w:val="17"/>
          <w:szCs w:val="17"/>
        </w:rPr>
        <w:t>d</w:t>
      </w:r>
      <w:r w:rsidRPr="00E3504C">
        <w:rPr>
          <w:rFonts w:ascii="Arial" w:eastAsia="Calibri" w:hAnsi="Arial" w:cs="Arial"/>
          <w:spacing w:val="-1"/>
          <w:sz w:val="17"/>
          <w:szCs w:val="17"/>
        </w:rPr>
        <w:t>espués de una fuerte contracción del PIB en el 2T-2020, la economía mostró una recuperación en el 3T-2020, impulsada por la reapertura de actividades y por el repunte de la demanda externa, si bien permanece por debajo de los niveles previos a la emergencia sanitaria.</w:t>
      </w:r>
      <w:r>
        <w:rPr>
          <w:rFonts w:ascii="Arial" w:eastAsia="Calibri" w:hAnsi="Arial" w:cs="Arial"/>
          <w:spacing w:val="-1"/>
          <w:sz w:val="17"/>
          <w:szCs w:val="17"/>
        </w:rPr>
        <w:t xml:space="preserve"> </w:t>
      </w:r>
      <w:r w:rsidRPr="00E3504C">
        <w:rPr>
          <w:rFonts w:ascii="Arial" w:eastAsia="Calibri" w:hAnsi="Arial" w:cs="Arial"/>
          <w:spacing w:val="-1"/>
          <w:sz w:val="17"/>
          <w:szCs w:val="17"/>
        </w:rPr>
        <w:t>La contracción económica en abril y mayo fue súbita, profunda y sincronizada entre los distintos sectores de actividad. La reapertura de actividades y el impulso de la demanda externa han propiciado desde junio una recuperación parcial y heterogénea.</w:t>
      </w:r>
      <w:r>
        <w:rPr>
          <w:rFonts w:ascii="Arial" w:eastAsia="Calibri" w:hAnsi="Arial" w:cs="Arial"/>
          <w:spacing w:val="-1"/>
          <w:sz w:val="17"/>
          <w:szCs w:val="17"/>
        </w:rPr>
        <w:t xml:space="preserve"> </w:t>
      </w:r>
      <w:r w:rsidRPr="00C9290B">
        <w:rPr>
          <w:rFonts w:ascii="Arial" w:eastAsia="Calibri" w:hAnsi="Arial" w:cs="Arial"/>
          <w:spacing w:val="-1"/>
          <w:sz w:val="17"/>
          <w:szCs w:val="17"/>
        </w:rPr>
        <w:t>En el 3T-2020 la actividad industrial mostró cierta mejoría. En julio y agosto los servicios crecieron a un ritmo moderado y heterogéneo entre subsectores. En ambos casos los niveles de actividad se ubican por debajo de los niveles anteriores a la pandemia.</w:t>
      </w:r>
      <w:r>
        <w:rPr>
          <w:rFonts w:ascii="Arial" w:eastAsia="Calibri" w:hAnsi="Arial" w:cs="Arial"/>
          <w:spacing w:val="-1"/>
          <w:sz w:val="17"/>
          <w:szCs w:val="17"/>
        </w:rPr>
        <w:t xml:space="preserve"> </w:t>
      </w:r>
      <w:r w:rsidRPr="00050829">
        <w:rPr>
          <w:rFonts w:ascii="Arial" w:eastAsia="Calibri" w:hAnsi="Arial" w:cs="Arial"/>
          <w:spacing w:val="-1"/>
          <w:sz w:val="17"/>
          <w:szCs w:val="17"/>
        </w:rPr>
        <w:t xml:space="preserve">El consumo </w:t>
      </w:r>
      <w:r w:rsidRPr="00050829">
        <w:rPr>
          <w:rFonts w:ascii="Arial" w:eastAsia="Calibri" w:hAnsi="Arial" w:cs="Arial"/>
          <w:spacing w:val="-1"/>
          <w:sz w:val="17"/>
          <w:szCs w:val="17"/>
        </w:rPr>
        <w:lastRenderedPageBreak/>
        <w:t>privado ha mostrado una mejora a partir de junio, la cual se ha moderado en los últimos</w:t>
      </w:r>
      <w:r>
        <w:rPr>
          <w:rFonts w:ascii="Arial" w:eastAsia="Calibri" w:hAnsi="Arial" w:cs="Arial"/>
          <w:spacing w:val="-1"/>
          <w:sz w:val="17"/>
          <w:szCs w:val="17"/>
        </w:rPr>
        <w:t xml:space="preserve"> </w:t>
      </w:r>
      <w:r w:rsidRPr="00050829">
        <w:rPr>
          <w:rFonts w:ascii="Arial" w:eastAsia="Calibri" w:hAnsi="Arial" w:cs="Arial"/>
          <w:spacing w:val="-1"/>
          <w:sz w:val="17"/>
          <w:szCs w:val="17"/>
        </w:rPr>
        <w:t>meses.</w:t>
      </w:r>
      <w:r>
        <w:rPr>
          <w:rFonts w:ascii="Arial" w:eastAsia="Calibri" w:hAnsi="Arial" w:cs="Arial"/>
          <w:spacing w:val="-1"/>
          <w:sz w:val="17"/>
          <w:szCs w:val="17"/>
        </w:rPr>
        <w:t xml:space="preserve"> </w:t>
      </w:r>
      <w:r w:rsidRPr="00733967">
        <w:rPr>
          <w:rFonts w:ascii="Arial" w:eastAsia="Calibri" w:hAnsi="Arial" w:cs="Arial"/>
          <w:spacing w:val="-1"/>
          <w:sz w:val="17"/>
          <w:szCs w:val="17"/>
        </w:rPr>
        <w:t>La inversión fija bruta presentó cierta reactivación de junio a agosto. Los rubros de maquinaria y equipo y de construcción continuaron recuperándose, si bien permanecen significativamente por debajo de su nivel previo a la pandemia y enfrenta retos de corto y mediano plazo.</w:t>
      </w:r>
      <w:r>
        <w:rPr>
          <w:rFonts w:ascii="Arial" w:eastAsia="Calibri" w:hAnsi="Arial" w:cs="Arial"/>
          <w:spacing w:val="-1"/>
          <w:sz w:val="17"/>
          <w:szCs w:val="17"/>
        </w:rPr>
        <w:t xml:space="preserve"> </w:t>
      </w:r>
      <w:r w:rsidRPr="00BC728D">
        <w:rPr>
          <w:rFonts w:ascii="Arial" w:eastAsia="Calibri" w:hAnsi="Arial" w:cs="Arial"/>
          <w:spacing w:val="-1"/>
          <w:sz w:val="17"/>
          <w:szCs w:val="17"/>
        </w:rPr>
        <w:t>En la etapa inicial de las afectaciones por la pandemia el comercio exterior de bienes se contrajo significativamente, a partir de junio la reapertura y la reactivación de la demanda externa propició la recuperación de las exportaciones, especialmente en el sector automotriz.</w:t>
      </w:r>
      <w:r>
        <w:rPr>
          <w:rFonts w:ascii="Arial" w:eastAsia="Calibri" w:hAnsi="Arial" w:cs="Arial"/>
          <w:spacing w:val="-1"/>
          <w:sz w:val="17"/>
          <w:szCs w:val="17"/>
        </w:rPr>
        <w:t xml:space="preserve"> </w:t>
      </w:r>
      <w:r w:rsidRPr="00962A39">
        <w:rPr>
          <w:rFonts w:ascii="Arial" w:eastAsia="Calibri" w:hAnsi="Arial" w:cs="Arial"/>
          <w:spacing w:val="-1"/>
          <w:sz w:val="17"/>
          <w:szCs w:val="17"/>
        </w:rPr>
        <w:t>La mayor recuperación de las exportaciones respecto de las importaciones en el 3T-2020 condujo a que el superávit comercial de mercancías se ubicara en máximos históricos, lo que impulsó a la cuenta corriente en su conjunto a un superávit considerable en el 3T-2020 (17.5mmd).</w:t>
      </w:r>
      <w:r>
        <w:rPr>
          <w:rFonts w:ascii="Arial" w:eastAsia="Calibri" w:hAnsi="Arial" w:cs="Arial"/>
          <w:spacing w:val="-1"/>
          <w:sz w:val="17"/>
          <w:szCs w:val="17"/>
        </w:rPr>
        <w:t xml:space="preserve"> </w:t>
      </w:r>
      <w:r w:rsidRPr="00886C86">
        <w:rPr>
          <w:rFonts w:ascii="Arial" w:eastAsia="Calibri" w:hAnsi="Arial" w:cs="Arial"/>
          <w:spacing w:val="-1"/>
          <w:sz w:val="17"/>
          <w:szCs w:val="17"/>
        </w:rPr>
        <w:t>Entre julio–octubre diversos indicadores del mercado laboral mostraron mejoría, luego del</w:t>
      </w:r>
      <w:r>
        <w:rPr>
          <w:rFonts w:ascii="Arial" w:eastAsia="Calibri" w:hAnsi="Arial" w:cs="Arial"/>
          <w:spacing w:val="-1"/>
          <w:sz w:val="17"/>
          <w:szCs w:val="17"/>
        </w:rPr>
        <w:t xml:space="preserve"> </w:t>
      </w:r>
      <w:r w:rsidRPr="00886C86">
        <w:rPr>
          <w:rFonts w:ascii="Arial" w:eastAsia="Calibri" w:hAnsi="Arial" w:cs="Arial"/>
          <w:spacing w:val="-1"/>
          <w:sz w:val="17"/>
          <w:szCs w:val="17"/>
        </w:rPr>
        <w:t>significativo deterioro ocasionado por la pandemia.</w:t>
      </w:r>
      <w:r>
        <w:rPr>
          <w:rFonts w:ascii="Arial" w:eastAsia="Calibri" w:hAnsi="Arial" w:cs="Arial"/>
          <w:spacing w:val="-1"/>
          <w:sz w:val="17"/>
          <w:szCs w:val="17"/>
        </w:rPr>
        <w:t xml:space="preserve"> </w:t>
      </w:r>
      <w:r w:rsidRPr="007E48FB">
        <w:rPr>
          <w:rFonts w:ascii="Arial" w:eastAsia="Calibri" w:hAnsi="Arial" w:cs="Arial"/>
          <w:spacing w:val="-1"/>
          <w:sz w:val="17"/>
          <w:szCs w:val="17"/>
        </w:rPr>
        <w:t>Después de la importante ampliación de la holgura en el 2T-2020 esta se revirtió parcialmente en el</w:t>
      </w:r>
      <w:r>
        <w:rPr>
          <w:rFonts w:ascii="Arial" w:eastAsia="Calibri" w:hAnsi="Arial" w:cs="Arial"/>
          <w:spacing w:val="-1"/>
          <w:sz w:val="17"/>
          <w:szCs w:val="17"/>
        </w:rPr>
        <w:t xml:space="preserve"> </w:t>
      </w:r>
      <w:r w:rsidRPr="007E48FB">
        <w:rPr>
          <w:rFonts w:ascii="Arial" w:eastAsia="Calibri" w:hAnsi="Arial" w:cs="Arial"/>
          <w:spacing w:val="-1"/>
          <w:sz w:val="17"/>
          <w:szCs w:val="17"/>
        </w:rPr>
        <w:t>3T-2020 y aún se mantiene en niveles históricamente amplios.</w:t>
      </w:r>
    </w:p>
    <w:p w:rsidR="00C20CBD" w:rsidRDefault="00C20CBD" w:rsidP="00C20CBD">
      <w:pPr>
        <w:spacing w:before="120" w:after="120" w:line="240" w:lineRule="exact"/>
        <w:jc w:val="both"/>
        <w:rPr>
          <w:rFonts w:ascii="Arial" w:eastAsia="Calibri" w:hAnsi="Arial" w:cs="Arial"/>
          <w:spacing w:val="-1"/>
          <w:sz w:val="17"/>
          <w:szCs w:val="17"/>
        </w:rPr>
      </w:pPr>
    </w:p>
    <w:p w:rsidR="00C20CBD" w:rsidRDefault="00C20CBD" w:rsidP="00C20CBD">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BANXICO menciona en su informe que</w:t>
      </w:r>
      <w:r w:rsidRPr="005C4AA9">
        <w:t xml:space="preserve"> </w:t>
      </w:r>
      <w:r>
        <w:rPr>
          <w:rFonts w:ascii="Arial" w:eastAsia="Calibri" w:hAnsi="Arial" w:cs="Arial"/>
          <w:spacing w:val="-1"/>
          <w:sz w:val="17"/>
          <w:szCs w:val="17"/>
        </w:rPr>
        <w:t>e</w:t>
      </w:r>
      <w:r w:rsidRPr="005C4AA9">
        <w:rPr>
          <w:rFonts w:ascii="Arial" w:eastAsia="Calibri" w:hAnsi="Arial" w:cs="Arial"/>
          <w:spacing w:val="-1"/>
          <w:sz w:val="17"/>
          <w:szCs w:val="17"/>
        </w:rPr>
        <w:t xml:space="preserve">l comportamiento de la inflación </w:t>
      </w:r>
      <w:r w:rsidRPr="00FF364A">
        <w:rPr>
          <w:rFonts w:ascii="Arial" w:eastAsia="Calibri" w:hAnsi="Arial" w:cs="Arial"/>
          <w:spacing w:val="-1"/>
          <w:sz w:val="17"/>
          <w:szCs w:val="17"/>
        </w:rPr>
        <w:t>sigue siendo influida por los efectos de la pandemia, después de registrar 2.15% en abril aumentó a 4.09% en octubre y en la 1Q-Noviembre disminuyó a 3.43%, reflejando menores precios de los energéticos, menores presiones en las frutas y verduras y los efectos de las ofertas de “El Bue</w:t>
      </w:r>
      <w:r>
        <w:rPr>
          <w:rFonts w:ascii="Arial" w:eastAsia="Calibri" w:hAnsi="Arial" w:cs="Arial"/>
          <w:spacing w:val="-1"/>
          <w:sz w:val="17"/>
          <w:szCs w:val="17"/>
        </w:rPr>
        <w:t>n Fin</w:t>
      </w:r>
      <w:r w:rsidRPr="00FF364A">
        <w:rPr>
          <w:rFonts w:ascii="Arial" w:eastAsia="Calibri" w:hAnsi="Arial" w:cs="Arial"/>
          <w:spacing w:val="-1"/>
          <w:sz w:val="17"/>
          <w:szCs w:val="17"/>
        </w:rPr>
        <w:t>”</w:t>
      </w:r>
      <w:r>
        <w:rPr>
          <w:rFonts w:ascii="Arial" w:eastAsia="Calibri" w:hAnsi="Arial" w:cs="Arial"/>
          <w:spacing w:val="-1"/>
          <w:sz w:val="17"/>
          <w:szCs w:val="17"/>
        </w:rPr>
        <w:t xml:space="preserve">, para cerrar en el 2020 en un 3.15%. </w:t>
      </w:r>
      <w:r w:rsidRPr="00BF2717">
        <w:rPr>
          <w:rFonts w:ascii="Arial" w:eastAsia="Calibri" w:hAnsi="Arial" w:cs="Arial"/>
          <w:spacing w:val="-1"/>
          <w:sz w:val="17"/>
          <w:szCs w:val="17"/>
        </w:rPr>
        <w:t>La inflación subyacente pasó de 3.5% en abril a 3.98% en octubre, con una recomposición a su interior con presiones al alza en los precios de las mercancías, que superaron las presiones a la baja en los precios de los servicios. En la 1Q-Noviembre las mercancías no alimenticias redujeron significativamente su variación anual.</w:t>
      </w:r>
      <w:r w:rsidRPr="00BF2717">
        <w:t xml:space="preserve"> </w:t>
      </w:r>
      <w:r w:rsidRPr="00BF2717">
        <w:rPr>
          <w:rFonts w:ascii="Arial" w:eastAsia="Calibri" w:hAnsi="Arial" w:cs="Arial"/>
          <w:spacing w:val="-1"/>
          <w:sz w:val="17"/>
          <w:szCs w:val="17"/>
        </w:rPr>
        <w:t>Los componentes de la inflación subyacente han resentido los choques ocasionados por la pandemia. En la 1Q-Noviembre se redujo la inflación subyacente, reflejando la mayor extensión e intensidad de las ofertas de “El Buen Fin”,</w:t>
      </w:r>
      <w:r>
        <w:rPr>
          <w:rFonts w:ascii="Arial" w:eastAsia="Calibri" w:hAnsi="Arial" w:cs="Arial"/>
          <w:spacing w:val="-1"/>
          <w:sz w:val="17"/>
          <w:szCs w:val="17"/>
        </w:rPr>
        <w:t xml:space="preserve"> su persistencia se identificó</w:t>
      </w:r>
      <w:r w:rsidRPr="00BF2717">
        <w:rPr>
          <w:rFonts w:ascii="Arial" w:eastAsia="Calibri" w:hAnsi="Arial" w:cs="Arial"/>
          <w:spacing w:val="-1"/>
          <w:sz w:val="17"/>
          <w:szCs w:val="17"/>
        </w:rPr>
        <w:t xml:space="preserve"> con mayor claridad en los próximos meses</w:t>
      </w:r>
      <w:r>
        <w:rPr>
          <w:rFonts w:ascii="Arial" w:eastAsia="Calibri" w:hAnsi="Arial" w:cs="Arial"/>
          <w:spacing w:val="-1"/>
          <w:sz w:val="17"/>
          <w:szCs w:val="17"/>
        </w:rPr>
        <w:t xml:space="preserve"> para cerrar en el 2020 en un 3.80%. </w:t>
      </w:r>
      <w:r w:rsidRPr="002D2A7B">
        <w:rPr>
          <w:rFonts w:ascii="Arial" w:eastAsia="Calibri" w:hAnsi="Arial" w:cs="Arial"/>
          <w:spacing w:val="-1"/>
          <w:sz w:val="17"/>
          <w:szCs w:val="17"/>
        </w:rPr>
        <w:t>Los precios de los energéticos han influido significativamente a la inflación no subyacente, que pasó</w:t>
      </w:r>
      <w:r>
        <w:rPr>
          <w:rFonts w:ascii="Arial" w:eastAsia="Calibri" w:hAnsi="Arial" w:cs="Arial"/>
          <w:spacing w:val="-1"/>
          <w:sz w:val="17"/>
          <w:szCs w:val="17"/>
        </w:rPr>
        <w:t xml:space="preserve"> </w:t>
      </w:r>
      <w:r w:rsidRPr="002D2A7B">
        <w:rPr>
          <w:rFonts w:ascii="Arial" w:eastAsia="Calibri" w:hAnsi="Arial" w:cs="Arial"/>
          <w:spacing w:val="-1"/>
          <w:sz w:val="17"/>
          <w:szCs w:val="17"/>
        </w:rPr>
        <w:t>de -1.96% en abril a 4.42% en octubre y disminuyó nuevam</w:t>
      </w:r>
      <w:r>
        <w:rPr>
          <w:rFonts w:ascii="Arial" w:eastAsia="Calibri" w:hAnsi="Arial" w:cs="Arial"/>
          <w:spacing w:val="-1"/>
          <w:sz w:val="17"/>
          <w:szCs w:val="17"/>
        </w:rPr>
        <w:t>ente a 2.67% en la 1Q-Noviembre, cerrando el 2020 en un 1.18%</w:t>
      </w:r>
      <w:r w:rsidRPr="00BF2717">
        <w:rPr>
          <w:rFonts w:ascii="Arial" w:eastAsia="Calibri" w:hAnsi="Arial" w:cs="Arial"/>
          <w:spacing w:val="-1"/>
          <w:sz w:val="17"/>
          <w:szCs w:val="17"/>
        </w:rPr>
        <w:t>.</w:t>
      </w:r>
      <w:r>
        <w:rPr>
          <w:rFonts w:ascii="Arial" w:eastAsia="Calibri" w:hAnsi="Arial" w:cs="Arial"/>
          <w:spacing w:val="-1"/>
          <w:sz w:val="17"/>
          <w:szCs w:val="17"/>
        </w:rPr>
        <w:t xml:space="preserve"> </w:t>
      </w:r>
    </w:p>
    <w:p w:rsidR="00C20CBD" w:rsidRDefault="00C20CBD" w:rsidP="00C20CBD">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En la conducción de la Política Monetaria, </w:t>
      </w:r>
      <w:r>
        <w:rPr>
          <w:rFonts w:ascii="Arial" w:eastAsia="Calibri" w:hAnsi="Arial" w:cs="Arial"/>
          <w:spacing w:val="-1"/>
          <w:sz w:val="17"/>
          <w:szCs w:val="17"/>
        </w:rPr>
        <w:t>e</w:t>
      </w:r>
      <w:r w:rsidRPr="004D2A5B">
        <w:rPr>
          <w:rFonts w:ascii="Arial" w:eastAsia="Calibri" w:hAnsi="Arial" w:cs="Arial"/>
          <w:spacing w:val="-1"/>
          <w:sz w:val="17"/>
          <w:szCs w:val="17"/>
        </w:rPr>
        <w:t xml:space="preserve">l Banco de México </w:t>
      </w:r>
      <w:r>
        <w:rPr>
          <w:rFonts w:ascii="Arial" w:eastAsia="Calibri" w:hAnsi="Arial" w:cs="Arial"/>
          <w:spacing w:val="-1"/>
          <w:sz w:val="17"/>
          <w:szCs w:val="17"/>
        </w:rPr>
        <w:t>e</w:t>
      </w:r>
      <w:r w:rsidRPr="00247A46">
        <w:rPr>
          <w:rFonts w:ascii="Arial" w:eastAsia="Calibri" w:hAnsi="Arial" w:cs="Arial"/>
          <w:spacing w:val="-1"/>
          <w:sz w:val="17"/>
          <w:szCs w:val="17"/>
        </w:rPr>
        <w:t xml:space="preserve">n el periodo que cubre este Informe, </w:t>
      </w:r>
      <w:r>
        <w:rPr>
          <w:rFonts w:ascii="Arial" w:eastAsia="Calibri" w:hAnsi="Arial" w:cs="Arial"/>
          <w:spacing w:val="-1"/>
          <w:sz w:val="17"/>
          <w:szCs w:val="17"/>
        </w:rPr>
        <w:t xml:space="preserve">su </w:t>
      </w:r>
      <w:r w:rsidRPr="00247A46">
        <w:rPr>
          <w:rFonts w:ascii="Arial" w:eastAsia="Calibri" w:hAnsi="Arial" w:cs="Arial"/>
          <w:spacing w:val="-1"/>
          <w:sz w:val="17"/>
          <w:szCs w:val="17"/>
        </w:rPr>
        <w:t>Junta redujo la tasa de referencia en 75 puntos base. El 12 de noviembre dicha tasa se mantuvo en 4.25%. Esta pausa brinda el espacio necesario para confirmar una trayectoria convergente de la inflación a la meta.</w:t>
      </w:r>
      <w:r>
        <w:rPr>
          <w:rFonts w:ascii="Arial" w:eastAsia="Calibri" w:hAnsi="Arial" w:cs="Arial"/>
          <w:spacing w:val="-1"/>
          <w:sz w:val="17"/>
          <w:szCs w:val="17"/>
        </w:rPr>
        <w:t xml:space="preserve"> </w:t>
      </w:r>
      <w:r w:rsidRPr="00247A46">
        <w:rPr>
          <w:rFonts w:ascii="Arial" w:eastAsia="Calibri" w:hAnsi="Arial" w:cs="Arial"/>
          <w:spacing w:val="-1"/>
          <w:sz w:val="17"/>
          <w:szCs w:val="17"/>
        </w:rPr>
        <w:t>En relación con las expectativas de inflación destaca que, entre junio y octubre, aquellas de corto plazo registraron aumentos, mientras que las de mediano y largo plazos permanecieron estables.</w:t>
      </w:r>
      <w:r>
        <w:rPr>
          <w:rFonts w:ascii="Arial" w:eastAsia="Calibri" w:hAnsi="Arial" w:cs="Arial"/>
          <w:spacing w:val="-1"/>
          <w:sz w:val="17"/>
          <w:szCs w:val="17"/>
        </w:rPr>
        <w:t xml:space="preserve"> </w:t>
      </w:r>
      <w:r w:rsidRPr="00247A46">
        <w:rPr>
          <w:rFonts w:ascii="Arial" w:eastAsia="Calibri" w:hAnsi="Arial" w:cs="Arial"/>
          <w:spacing w:val="-1"/>
          <w:sz w:val="17"/>
          <w:szCs w:val="17"/>
        </w:rPr>
        <w:t>Durante la mayoría del 3T-2020, y en noviembre, los mercados financieros nacionales presentaron en lo general un comportamiento positivo asociado a la mejoría en las condiciones financieras internacionales, con algunos episodios de volatilidad acotada.</w:t>
      </w:r>
      <w:r>
        <w:rPr>
          <w:rFonts w:ascii="Arial" w:eastAsia="Calibri" w:hAnsi="Arial" w:cs="Arial"/>
          <w:spacing w:val="-1"/>
          <w:sz w:val="17"/>
          <w:szCs w:val="17"/>
        </w:rPr>
        <w:t xml:space="preserve"> </w:t>
      </w:r>
      <w:r w:rsidRPr="00820ECA">
        <w:rPr>
          <w:rFonts w:ascii="Arial" w:eastAsia="Calibri" w:hAnsi="Arial" w:cs="Arial"/>
          <w:spacing w:val="-1"/>
          <w:sz w:val="17"/>
          <w:szCs w:val="17"/>
        </w:rPr>
        <w:t>Las tasas de interés de corto y mediano plazos disminuyeron, reflejando en parte las acciones de política monetaria del Banco de México, mientras que las de largo plazo se ubican en niveles inferiores a los registrados antes de la pandemia.</w:t>
      </w:r>
      <w:r>
        <w:rPr>
          <w:rFonts w:ascii="Arial" w:eastAsia="Calibri" w:hAnsi="Arial" w:cs="Arial"/>
          <w:spacing w:val="-1"/>
          <w:sz w:val="17"/>
          <w:szCs w:val="17"/>
        </w:rPr>
        <w:t xml:space="preserve"> </w:t>
      </w:r>
      <w:r w:rsidRPr="004D69AD">
        <w:rPr>
          <w:rFonts w:ascii="Arial" w:eastAsia="Calibri" w:hAnsi="Arial" w:cs="Arial"/>
          <w:spacing w:val="-1"/>
          <w:sz w:val="17"/>
          <w:szCs w:val="17"/>
        </w:rPr>
        <w:t>Ante los choques derivados de la pandemia, la política monetaria ha buscado contribuir a un ajuste ordenado en los mercados nacionales y en particular en un ajuste a la baja en toda la curva de rendimientos en México.</w:t>
      </w:r>
    </w:p>
    <w:p w:rsidR="00C20CBD" w:rsidRDefault="00C20CBD" w:rsidP="00C20CBD">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Las previsiones para la Actividad Económica po</w:t>
      </w:r>
      <w:r>
        <w:rPr>
          <w:rFonts w:ascii="Arial" w:eastAsia="Calibri" w:hAnsi="Arial" w:cs="Arial"/>
          <w:spacing w:val="-1"/>
          <w:sz w:val="17"/>
          <w:szCs w:val="17"/>
        </w:rPr>
        <w:t>r parte de BANXICO que menciona en su informe son:</w:t>
      </w:r>
    </w:p>
    <w:p w:rsidR="00C20CBD" w:rsidRPr="00270DDF" w:rsidRDefault="00C20CBD" w:rsidP="00C20CBD">
      <w:pPr>
        <w:pStyle w:val="Prrafodelista"/>
        <w:numPr>
          <w:ilvl w:val="0"/>
          <w:numId w:val="14"/>
        </w:numPr>
        <w:spacing w:before="120" w:after="120" w:line="240" w:lineRule="exact"/>
        <w:jc w:val="both"/>
        <w:rPr>
          <w:rFonts w:ascii="Arial" w:eastAsia="Calibri" w:hAnsi="Arial" w:cs="Arial"/>
          <w:spacing w:val="-1"/>
          <w:sz w:val="17"/>
          <w:szCs w:val="17"/>
        </w:rPr>
      </w:pPr>
      <w:r w:rsidRPr="00270DDF">
        <w:rPr>
          <w:rFonts w:ascii="Arial" w:eastAsia="Calibri" w:hAnsi="Arial" w:cs="Arial"/>
          <w:spacing w:val="-1"/>
          <w:sz w:val="17"/>
          <w:szCs w:val="17"/>
        </w:rPr>
        <w:t>Dada la mayor información que se tiene sobre el impacto adverso inicial y la fase de r</w:t>
      </w:r>
      <w:r>
        <w:rPr>
          <w:rFonts w:ascii="Arial" w:eastAsia="Calibri" w:hAnsi="Arial" w:cs="Arial"/>
          <w:spacing w:val="-1"/>
          <w:sz w:val="17"/>
          <w:szCs w:val="17"/>
        </w:rPr>
        <w:t xml:space="preserve">ecuperación, en esta edición </w:t>
      </w:r>
      <w:r w:rsidRPr="00270DDF">
        <w:rPr>
          <w:rFonts w:ascii="Arial" w:eastAsia="Calibri" w:hAnsi="Arial" w:cs="Arial"/>
          <w:spacing w:val="-1"/>
          <w:sz w:val="17"/>
          <w:szCs w:val="17"/>
        </w:rPr>
        <w:t>presenta un escenario central</w:t>
      </w:r>
      <w:r>
        <w:rPr>
          <w:rFonts w:ascii="Arial" w:eastAsia="Calibri" w:hAnsi="Arial" w:cs="Arial"/>
          <w:spacing w:val="-1"/>
          <w:sz w:val="17"/>
          <w:szCs w:val="17"/>
        </w:rPr>
        <w:t>, es decir,</w:t>
      </w:r>
      <w:r w:rsidRPr="00270DDF">
        <w:rPr>
          <w:rFonts w:ascii="Arial" w:eastAsia="Calibri" w:hAnsi="Arial" w:cs="Arial"/>
          <w:spacing w:val="-1"/>
          <w:sz w:val="17"/>
          <w:szCs w:val="17"/>
        </w:rPr>
        <w:t xml:space="preserve"> supone una recuperación gradual, a un ritmo moderado, a lo largo del horizonte de pronóstico, convergiendo a un crecimiento inercial hacia 2022.</w:t>
      </w:r>
    </w:p>
    <w:p w:rsidR="00C20CBD" w:rsidRPr="008D5B98" w:rsidRDefault="00C20CBD" w:rsidP="00C20CBD">
      <w:pPr>
        <w:pStyle w:val="Prrafodelista"/>
        <w:numPr>
          <w:ilvl w:val="0"/>
          <w:numId w:val="14"/>
        </w:numPr>
        <w:spacing w:before="120" w:after="120" w:line="240" w:lineRule="exact"/>
        <w:jc w:val="both"/>
        <w:rPr>
          <w:rFonts w:ascii="Arial" w:eastAsia="Calibri" w:hAnsi="Arial" w:cs="Arial"/>
          <w:spacing w:val="-1"/>
          <w:sz w:val="17"/>
          <w:szCs w:val="17"/>
        </w:rPr>
      </w:pPr>
      <w:r w:rsidRPr="00270DDF">
        <w:rPr>
          <w:rFonts w:ascii="Arial" w:eastAsia="Calibri" w:hAnsi="Arial" w:cs="Arial"/>
          <w:spacing w:val="-1"/>
          <w:sz w:val="17"/>
          <w:szCs w:val="17"/>
        </w:rPr>
        <w:t>Persiste un alto grado de incertidumbre sobre la evolución futura de la actividad, tanto nacional, como global, esto se refleja en la amplitud del intervalo de crecimiento.</w:t>
      </w:r>
    </w:p>
    <w:p w:rsidR="00C20CBD" w:rsidRPr="009A23C7" w:rsidRDefault="00C20CBD" w:rsidP="00C20CBD">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Los Riesgos para el Crecimiento BANXICO considera que para el escenario central están sesgados a la baja si</w:t>
      </w:r>
      <w:r w:rsidRPr="009A23C7">
        <w:rPr>
          <w:rFonts w:ascii="Arial" w:eastAsia="Calibri" w:hAnsi="Arial" w:cs="Arial"/>
          <w:spacing w:val="-1"/>
          <w:sz w:val="17"/>
          <w:szCs w:val="17"/>
        </w:rPr>
        <w:t>:</w:t>
      </w:r>
    </w:p>
    <w:p w:rsidR="00C20CBD" w:rsidRPr="007D510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prolonga</w:t>
      </w:r>
      <w:r w:rsidRPr="007D5108">
        <w:rPr>
          <w:rFonts w:ascii="Arial" w:eastAsia="Calibri" w:hAnsi="Arial" w:cs="Arial"/>
          <w:spacing w:val="-1"/>
          <w:sz w:val="17"/>
          <w:szCs w:val="17"/>
        </w:rPr>
        <w:t>n las medidas de distanciamiento social o se retomen medidas más estrictas.</w:t>
      </w:r>
    </w:p>
    <w:p w:rsidR="00C20CBD" w:rsidRPr="007D510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Episodios adicionales de volatilidad en los mercados financieros internacionales.</w:t>
      </w:r>
    </w:p>
    <w:p w:rsidR="00C20CBD" w:rsidRPr="007D510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las medidas de apoyo a nivel nacional o internacional, sean insuficientes.</w:t>
      </w:r>
    </w:p>
    <w:p w:rsidR="00C20CBD" w:rsidRPr="007D510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las secuelas causadas por la pandemia sobre la economía sean más permanentes.</w:t>
      </w:r>
    </w:p>
    <w:p w:rsidR="00C20CBD" w:rsidRPr="007D510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se observen reducciones en la calificación de la deuda soberana y la de Pemex.</w:t>
      </w:r>
    </w:p>
    <w:p w:rsidR="00C20CBD" w:rsidRDefault="00C20CBD" w:rsidP="00C20CBD">
      <w:pPr>
        <w:pStyle w:val="Prrafodelista"/>
        <w:numPr>
          <w:ilvl w:val="0"/>
          <w:numId w:val="17"/>
        </w:numPr>
        <w:spacing w:before="120" w:after="120" w:line="240" w:lineRule="exact"/>
        <w:ind w:left="357" w:hanging="357"/>
        <w:jc w:val="both"/>
        <w:rPr>
          <w:rFonts w:ascii="Arial" w:eastAsia="Calibri" w:hAnsi="Arial" w:cs="Arial"/>
          <w:spacing w:val="-1"/>
          <w:sz w:val="17"/>
          <w:szCs w:val="17"/>
        </w:rPr>
      </w:pPr>
      <w:r w:rsidRPr="007D5108">
        <w:rPr>
          <w:rFonts w:ascii="Arial" w:eastAsia="Calibri" w:hAnsi="Arial" w:cs="Arial"/>
          <w:spacing w:val="-1"/>
          <w:sz w:val="17"/>
          <w:szCs w:val="17"/>
        </w:rPr>
        <w:t>Que persista el entorno de incertidumbre interna que ha afectado a la inversión.</w:t>
      </w:r>
    </w:p>
    <w:p w:rsidR="00C20CBD" w:rsidRPr="007D5108" w:rsidRDefault="00C20CBD" w:rsidP="00C20CBD">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Y al</w:t>
      </w:r>
      <w:r w:rsidRPr="007D5108">
        <w:rPr>
          <w:rFonts w:ascii="Arial" w:eastAsia="Calibri" w:hAnsi="Arial" w:cs="Arial"/>
          <w:spacing w:val="-1"/>
          <w:sz w:val="17"/>
          <w:szCs w:val="17"/>
        </w:rPr>
        <w:t xml:space="preserve"> alza:</w:t>
      </w:r>
    </w:p>
    <w:p w:rsidR="00C20CBD" w:rsidRPr="007D510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 pandemia se disipe en el corto plazo, como resultado de nuevos tratamientos o de la introducción de una vacuna efectiva.</w:t>
      </w:r>
    </w:p>
    <w:p w:rsidR="00C20CBD"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3F15B8">
        <w:rPr>
          <w:rFonts w:ascii="Arial" w:eastAsia="Calibri" w:hAnsi="Arial" w:cs="Arial"/>
          <w:spacing w:val="-1"/>
          <w:sz w:val="17"/>
          <w:szCs w:val="17"/>
        </w:rPr>
        <w:lastRenderedPageBreak/>
        <w:t>Que los estímulos que se han otorgado sean efectivos para contrarrestar las secuelas de la  pandemia y apoyar la recuperación de la economía global.</w:t>
      </w:r>
    </w:p>
    <w:p w:rsidR="00C20CBD" w:rsidRPr="003F15B8" w:rsidRDefault="00C20CBD" w:rsidP="00C20CBD">
      <w:pPr>
        <w:pStyle w:val="Prrafodelista"/>
        <w:numPr>
          <w:ilvl w:val="0"/>
          <w:numId w:val="18"/>
        </w:numPr>
        <w:spacing w:before="120" w:after="120" w:line="240" w:lineRule="exact"/>
        <w:jc w:val="both"/>
        <w:rPr>
          <w:rFonts w:ascii="Arial" w:eastAsia="Calibri" w:hAnsi="Arial" w:cs="Arial"/>
          <w:spacing w:val="-1"/>
          <w:sz w:val="17"/>
          <w:szCs w:val="17"/>
        </w:rPr>
      </w:pPr>
      <w:r w:rsidRPr="003F15B8">
        <w:rPr>
          <w:rFonts w:ascii="Arial" w:eastAsia="Calibri" w:hAnsi="Arial" w:cs="Arial"/>
          <w:spacing w:val="-1"/>
          <w:sz w:val="17"/>
          <w:szCs w:val="17"/>
        </w:rPr>
        <w:t>Que la reciente entrada en vigor del T-MEC propicie una inversión mayor a la esperada.</w:t>
      </w:r>
    </w:p>
    <w:p w:rsidR="00C20CBD" w:rsidRDefault="00C20CBD" w:rsidP="00C20CBD">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Las p</w:t>
      </w:r>
      <w:r w:rsidRPr="009A23C7">
        <w:rPr>
          <w:rFonts w:ascii="Arial" w:eastAsia="Calibri" w:hAnsi="Arial" w:cs="Arial"/>
          <w:spacing w:val="-1"/>
          <w:sz w:val="17"/>
          <w:szCs w:val="17"/>
        </w:rPr>
        <w:t>revisiones para la Inflación</w:t>
      </w:r>
      <w:r>
        <w:rPr>
          <w:rFonts w:ascii="Arial" w:eastAsia="Calibri" w:hAnsi="Arial" w:cs="Arial"/>
          <w:spacing w:val="-1"/>
          <w:sz w:val="17"/>
          <w:szCs w:val="17"/>
        </w:rPr>
        <w:t xml:space="preserve"> que BANXICO señala en su informe que:</w:t>
      </w:r>
    </w:p>
    <w:p w:rsidR="00C20CBD" w:rsidRDefault="00C20CBD" w:rsidP="00C20CBD">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La pandemia y sus efectos sobre la actividad económica continúan generando incertidumbre sobre la trayectoria de la inflación.</w:t>
      </w:r>
    </w:p>
    <w:p w:rsidR="00C20CBD" w:rsidRDefault="00C20CBD" w:rsidP="00C20CBD">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A partir del escenario central para la actividad económica, se presenta un escenario central para la inflación.</w:t>
      </w:r>
    </w:p>
    <w:p w:rsidR="00C20CBD" w:rsidRDefault="00C20CBD" w:rsidP="00C20CBD">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También presenta el pronóstico de inflación en su variación trimestral ajustada por estacionalidad.</w:t>
      </w:r>
    </w:p>
    <w:p w:rsidR="00C20CBD" w:rsidRPr="008D5B98" w:rsidRDefault="00C20CBD" w:rsidP="00C20CBD">
      <w:pPr>
        <w:pStyle w:val="Prrafodelista"/>
        <w:numPr>
          <w:ilvl w:val="0"/>
          <w:numId w:val="20"/>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La previsión para la Inflación General en e</w:t>
      </w:r>
      <w:r w:rsidRPr="008D5B98">
        <w:rPr>
          <w:rFonts w:ascii="Arial" w:eastAsia="Calibri" w:hAnsi="Arial" w:cs="Arial"/>
          <w:spacing w:val="-1"/>
          <w:sz w:val="17"/>
          <w:szCs w:val="17"/>
        </w:rPr>
        <w:t>l corto plazo se ajusta a la baja respecto al escenario anterior por su comportamiento observado; y posteriormente presenta trayectorias ligeramente más elevadas para la subyacente y la no subyacente. Se continúa esperando que en el horizonte de pronóstico de 12 a 24 meses la inflación general se ubique alrededor de 3%.</w:t>
      </w:r>
    </w:p>
    <w:p w:rsidR="00C20CBD" w:rsidRPr="003F15B8" w:rsidRDefault="00C20CBD" w:rsidP="00C20CBD">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Los Riesgos </w:t>
      </w:r>
      <w:r w:rsidRPr="003F15B8">
        <w:rPr>
          <w:rFonts w:ascii="Arial" w:eastAsia="Calibri" w:hAnsi="Arial" w:cs="Arial"/>
          <w:spacing w:val="-1"/>
          <w:sz w:val="17"/>
          <w:szCs w:val="17"/>
        </w:rPr>
        <w:t>para el Escenario de Inflación en el Horizonte de Pronóstico</w:t>
      </w:r>
      <w:r>
        <w:rPr>
          <w:rFonts w:ascii="Arial" w:eastAsia="Calibri" w:hAnsi="Arial" w:cs="Arial"/>
          <w:spacing w:val="-1"/>
          <w:sz w:val="17"/>
          <w:szCs w:val="17"/>
        </w:rPr>
        <w:t xml:space="preserve"> </w:t>
      </w:r>
      <w:r w:rsidRPr="003F15B8">
        <w:rPr>
          <w:rFonts w:ascii="Arial" w:eastAsia="Calibri" w:hAnsi="Arial" w:cs="Arial"/>
          <w:spacing w:val="-1"/>
          <w:sz w:val="17"/>
          <w:szCs w:val="17"/>
        </w:rPr>
        <w:t xml:space="preserve">BANXICO </w:t>
      </w:r>
      <w:r>
        <w:rPr>
          <w:rFonts w:ascii="Arial" w:eastAsia="Calibri" w:hAnsi="Arial" w:cs="Arial"/>
          <w:spacing w:val="-1"/>
          <w:sz w:val="17"/>
          <w:szCs w:val="17"/>
        </w:rPr>
        <w:t>señala en su informe que e</w:t>
      </w:r>
      <w:r w:rsidRPr="003F15B8">
        <w:rPr>
          <w:rFonts w:ascii="Arial" w:eastAsia="Calibri" w:hAnsi="Arial" w:cs="Arial"/>
          <w:spacing w:val="-1"/>
          <w:sz w:val="17"/>
          <w:szCs w:val="17"/>
        </w:rPr>
        <w:t>l balance de riesgos alrededor de la trayectoria esperada para la inflación es incierto</w:t>
      </w:r>
      <w:r>
        <w:rPr>
          <w:rFonts w:ascii="Arial" w:eastAsia="Calibri" w:hAnsi="Arial" w:cs="Arial"/>
          <w:spacing w:val="-1"/>
          <w:sz w:val="17"/>
          <w:szCs w:val="17"/>
        </w:rPr>
        <w:t xml:space="preserve">, por lo que se </w:t>
      </w:r>
      <w:r w:rsidRPr="003F15B8">
        <w:rPr>
          <w:rFonts w:ascii="Arial" w:eastAsia="Calibri" w:hAnsi="Arial" w:cs="Arial"/>
          <w:spacing w:val="-1"/>
          <w:sz w:val="17"/>
          <w:szCs w:val="17"/>
        </w:rPr>
        <w:t>considera a la baja si:</w:t>
      </w:r>
    </w:p>
    <w:p w:rsidR="00C20CBD" w:rsidRDefault="00C20CBD" w:rsidP="00C20CBD">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Un efecto mayor al esperado por la brecha negativa del producto, menor demanda de bienes y servicios por medidas adicionales de distanciamiento, o que ante la debilidad de la demanda, las reducciones de precios durante “El Buen Fin” sean más persistentes.</w:t>
      </w:r>
    </w:p>
    <w:p w:rsidR="00C20CBD" w:rsidRDefault="00C20CBD" w:rsidP="00C20CBD">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Menores presiones inflacionarias globales.</w:t>
      </w:r>
    </w:p>
    <w:p w:rsidR="00C20CBD" w:rsidRDefault="00C20CBD" w:rsidP="00C20CBD">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el tipo de cambio se aprecie.</w:t>
      </w:r>
    </w:p>
    <w:p w:rsidR="00C20CBD" w:rsidRDefault="00C20CBD" w:rsidP="00C20CBD">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los precios de los energéticos se ubiquen por debajo de lo previsto.</w:t>
      </w:r>
    </w:p>
    <w:p w:rsidR="00C20CBD" w:rsidRPr="0003722C" w:rsidRDefault="00C20CBD" w:rsidP="00C20CBD">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por la holgura en la economía las revisiones salariales no presionen a los precios.</w:t>
      </w:r>
    </w:p>
    <w:p w:rsidR="00C20CBD" w:rsidRPr="0003722C" w:rsidRDefault="00C20CBD" w:rsidP="00C20CBD">
      <w:p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Al alza</w:t>
      </w:r>
      <w:r>
        <w:rPr>
          <w:rFonts w:ascii="Arial" w:eastAsia="Calibri" w:hAnsi="Arial" w:cs="Arial"/>
          <w:spacing w:val="-1"/>
          <w:sz w:val="17"/>
          <w:szCs w:val="17"/>
        </w:rPr>
        <w:t xml:space="preserve"> si:</w:t>
      </w:r>
    </w:p>
    <w:p w:rsidR="00C20CBD" w:rsidRDefault="00C20CBD" w:rsidP="00C20CBD">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Persistencia de la inflación subyacente en niveles elevados.</w:t>
      </w:r>
    </w:p>
    <w:p w:rsidR="00C20CBD" w:rsidRDefault="00C20CBD" w:rsidP="00C20CBD">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Episodios de depreciación cambiaria.</w:t>
      </w:r>
    </w:p>
    <w:p w:rsidR="00C20CBD" w:rsidRDefault="00C20CBD" w:rsidP="00C20CBD">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Aumento en la demanda relativa por ciertos bienes en el contexto de la contingencia sanitaria.</w:t>
      </w:r>
    </w:p>
    <w:p w:rsidR="00C20CBD" w:rsidRDefault="00C20CBD" w:rsidP="00C20CBD">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los precios de los energéticos se sitúen en niveles mayores a los anticipados.</w:t>
      </w:r>
    </w:p>
    <w:p w:rsidR="00C20CBD" w:rsidRPr="0003722C" w:rsidRDefault="00C20CBD" w:rsidP="00C20CBD">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Presiones de costos que, a pesar de la holgura, presionen los precios al consumidor.</w:t>
      </w:r>
    </w:p>
    <w:p w:rsidR="00C20CBD" w:rsidRPr="00C22526" w:rsidRDefault="00C20CBD" w:rsidP="00C20CBD">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Por último BANXICO emite en su informe las siguientes </w:t>
      </w:r>
      <w:r w:rsidRPr="00C22526">
        <w:rPr>
          <w:rFonts w:ascii="Arial" w:eastAsia="Calibri" w:hAnsi="Arial" w:cs="Arial"/>
          <w:spacing w:val="-1"/>
          <w:sz w:val="17"/>
          <w:szCs w:val="17"/>
        </w:rPr>
        <w:t>Consideraciones Finales</w:t>
      </w:r>
      <w:r>
        <w:rPr>
          <w:rFonts w:ascii="Arial" w:eastAsia="Calibri" w:hAnsi="Arial" w:cs="Arial"/>
          <w:spacing w:val="-1"/>
          <w:sz w:val="17"/>
          <w:szCs w:val="17"/>
        </w:rPr>
        <w:t>:</w:t>
      </w:r>
    </w:p>
    <w:p w:rsidR="00C20CBD" w:rsidRPr="00C22526" w:rsidRDefault="00C20CBD" w:rsidP="00C20CBD">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La Junta de Gobierno tomará las acciones que considere necesarias con base en la información adicional, a fin de que la tasa de referencia sea congruente con la convergencia ordenada y sostenida de la inflación general a la meta en el plazo en el que opera la política monetaria.</w:t>
      </w:r>
    </w:p>
    <w:p w:rsidR="00C20CBD" w:rsidRPr="00C22526" w:rsidRDefault="00C20CBD" w:rsidP="00C20CBD">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La conducción de la política monetaria dependerá de la evolución de los factores que inciden en la inflación general y subyacente, en sus trayectorias previstas en el horizonte de pronóstico y en sus expectativas.</w:t>
      </w:r>
    </w:p>
    <w:p w:rsidR="00C20CBD" w:rsidRPr="00C22526" w:rsidRDefault="00C20CBD" w:rsidP="00C20CBD">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Perseverar en fortalecer los fundamentos macroeconómicos y adoptar las acciones necesarias en los ámbitos monetario y fiscal, contribuirá a un mejor ajuste de los mercados financieros nacionales y de la economía en su conjunto.</w:t>
      </w:r>
    </w:p>
    <w:p w:rsidR="00C20CBD" w:rsidRPr="00C22526" w:rsidRDefault="00C20CBD" w:rsidP="00C20CBD">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Es necesario contribuir a que la economía se ajuste con orden y así contribuir a la reactivación de la actividad productiva y del empleo, permitiendo la flexibilidad en la asignación de recursos, procurando un buen funcionamiento microeconómico y atendiendo los problemas institucionales y estructurales.</w:t>
      </w:r>
    </w:p>
    <w:p w:rsidR="00C20CBD" w:rsidRPr="007558F0" w:rsidRDefault="00C20CBD" w:rsidP="00C20CBD">
      <w:pPr>
        <w:spacing w:after="160" w:line="259" w:lineRule="auto"/>
        <w:rPr>
          <w:rFonts w:ascii="Arial" w:eastAsia="Calibri" w:hAnsi="Arial" w:cs="Arial"/>
          <w:spacing w:val="-1"/>
          <w:sz w:val="17"/>
          <w:szCs w:val="17"/>
          <w:highlight w:val="yellow"/>
        </w:rPr>
      </w:pPr>
    </w:p>
    <w:p w:rsidR="00C20CBD" w:rsidRPr="007558F0" w:rsidRDefault="00C20CBD" w:rsidP="00C20CBD">
      <w:pPr>
        <w:spacing w:before="120" w:after="120" w:line="240" w:lineRule="exact"/>
        <w:jc w:val="both"/>
        <w:rPr>
          <w:rFonts w:ascii="Arial" w:eastAsia="Calibri" w:hAnsi="Arial" w:cs="Arial"/>
          <w:spacing w:val="-1"/>
          <w:sz w:val="17"/>
          <w:szCs w:val="17"/>
          <w:highlight w:val="yellow"/>
        </w:rPr>
      </w:pPr>
    </w:p>
    <w:p w:rsidR="00C20CBD" w:rsidRPr="00674D2C" w:rsidRDefault="00C20CBD" w:rsidP="00C20CBD">
      <w:pPr>
        <w:spacing w:before="120" w:after="120" w:line="240" w:lineRule="exact"/>
        <w:jc w:val="both"/>
        <w:rPr>
          <w:rFonts w:ascii="Arial" w:hAnsi="Arial" w:cs="Arial"/>
          <w:b/>
          <w:bCs/>
          <w:color w:val="000000"/>
          <w:sz w:val="18"/>
          <w:szCs w:val="34"/>
          <w:shd w:val="clear" w:color="auto" w:fill="FFFFFF"/>
        </w:rPr>
      </w:pPr>
      <w:r w:rsidRPr="00674D2C">
        <w:rPr>
          <w:rFonts w:ascii="Arial" w:hAnsi="Arial" w:cs="Arial"/>
          <w:b/>
          <w:bCs/>
          <w:color w:val="000000"/>
          <w:sz w:val="18"/>
          <w:szCs w:val="34"/>
          <w:shd w:val="clear" w:color="auto" w:fill="FFFFFF"/>
        </w:rPr>
        <w:lastRenderedPageBreak/>
        <w:t>Indicador Trimestral de la Actividad Económica Estatal</w:t>
      </w:r>
    </w:p>
    <w:p w:rsidR="00C20CBD" w:rsidRDefault="00C20CBD" w:rsidP="00C20CBD">
      <w:pPr>
        <w:pStyle w:val="p02"/>
        <w:keepLines w:val="0"/>
        <w:widowControl w:val="0"/>
        <w:jc w:val="center"/>
        <w:rPr>
          <w:rFonts w:ascii="Arial" w:hAnsi="Arial" w:cs="Arial"/>
          <w:b/>
          <w:smallCaps/>
          <w:color w:val="auto"/>
          <w:sz w:val="22"/>
        </w:rPr>
      </w:pPr>
      <w:r w:rsidRPr="00156EF2">
        <w:rPr>
          <w:rFonts w:ascii="Arial" w:hAnsi="Arial" w:cs="Arial"/>
          <w:b/>
          <w:smallCaps/>
          <w:color w:val="auto"/>
          <w:sz w:val="22"/>
        </w:rPr>
        <w:t xml:space="preserve">Indicador </w:t>
      </w:r>
      <w:r>
        <w:rPr>
          <w:rFonts w:ascii="Arial" w:hAnsi="Arial" w:cs="Arial"/>
          <w:b/>
          <w:smallCaps/>
          <w:color w:val="auto"/>
          <w:sz w:val="22"/>
        </w:rPr>
        <w:t>Trimestral de la Actividad</w:t>
      </w:r>
      <w:r w:rsidRPr="009128DE">
        <w:rPr>
          <w:rFonts w:ascii="Arial" w:hAnsi="Arial" w:cs="Arial"/>
          <w:b/>
          <w:smallCaps/>
          <w:color w:val="auto"/>
          <w:sz w:val="22"/>
        </w:rPr>
        <w:t xml:space="preserve"> Económica Estatal (ITAEE)</w:t>
      </w:r>
      <w:r>
        <w:rPr>
          <w:rFonts w:ascii="Arial" w:hAnsi="Arial" w:cs="Arial"/>
          <w:b/>
          <w:smallCaps/>
          <w:color w:val="auto"/>
          <w:sz w:val="22"/>
        </w:rPr>
        <w:t xml:space="preserve"> </w:t>
      </w:r>
    </w:p>
    <w:p w:rsidR="00C20CBD" w:rsidRPr="008E0632" w:rsidRDefault="00C20CBD" w:rsidP="00C20CBD">
      <w:pPr>
        <w:pStyle w:val="p02"/>
        <w:keepLines w:val="0"/>
        <w:widowControl w:val="0"/>
        <w:spacing w:before="0"/>
        <w:jc w:val="center"/>
        <w:rPr>
          <w:rFonts w:ascii="Arial" w:hAnsi="Arial" w:cs="Arial"/>
          <w:b/>
          <w:smallCaps/>
          <w:color w:val="auto"/>
          <w:sz w:val="22"/>
          <w:szCs w:val="22"/>
        </w:rPr>
      </w:pPr>
      <w:r>
        <w:rPr>
          <w:rFonts w:ascii="Arial" w:hAnsi="Arial" w:cs="Arial"/>
          <w:b/>
          <w:smallCaps/>
          <w:color w:val="auto"/>
          <w:sz w:val="22"/>
        </w:rPr>
        <w:t xml:space="preserve">durante el segundo trimestre </w:t>
      </w:r>
      <w:r w:rsidRPr="006F056B">
        <w:rPr>
          <w:rFonts w:ascii="Arial" w:hAnsi="Arial" w:cs="Arial"/>
          <w:b/>
          <w:smallCaps/>
          <w:color w:val="auto"/>
          <w:sz w:val="22"/>
          <w:szCs w:val="22"/>
        </w:rPr>
        <w:t xml:space="preserve">de </w:t>
      </w:r>
      <w:r>
        <w:rPr>
          <w:rFonts w:ascii="Arial" w:hAnsi="Arial" w:cs="Arial"/>
          <w:b/>
          <w:smallCaps/>
          <w:color w:val="auto"/>
          <w:sz w:val="22"/>
          <w:szCs w:val="22"/>
        </w:rPr>
        <w:t>2020</w:t>
      </w:r>
    </w:p>
    <w:tbl>
      <w:tblPr>
        <w:tblStyle w:val="Tablaconcuadrcula"/>
        <w:tblW w:w="8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6"/>
        <w:gridCol w:w="4111"/>
      </w:tblGrid>
      <w:tr w:rsidR="00C20CBD" w:rsidTr="0020143C">
        <w:trPr>
          <w:jc w:val="center"/>
        </w:trPr>
        <w:tc>
          <w:tcPr>
            <w:tcW w:w="4346" w:type="dxa"/>
            <w:shd w:val="clear" w:color="auto" w:fill="BDD6EE" w:themeFill="accent1" w:themeFillTint="66"/>
          </w:tcPr>
          <w:p w:rsidR="00C20CBD" w:rsidRPr="000A578B" w:rsidRDefault="00C20CBD" w:rsidP="0020143C">
            <w:pPr>
              <w:pStyle w:val="p02"/>
              <w:keepLines w:val="0"/>
              <w:widowControl w:val="0"/>
              <w:spacing w:before="120"/>
              <w:ind w:left="127"/>
              <w:jc w:val="center"/>
              <w:rPr>
                <w:rFonts w:ascii="Arial" w:hAnsi="Arial" w:cs="Arial"/>
                <w:color w:val="auto"/>
                <w:sz w:val="18"/>
              </w:rPr>
            </w:pPr>
            <w:r w:rsidRPr="00156EF2">
              <w:rPr>
                <w:rFonts w:ascii="Arial" w:hAnsi="Arial" w:cs="Arial"/>
                <w:color w:val="auto"/>
                <w:sz w:val="18"/>
              </w:rPr>
              <w:t xml:space="preserve">Variación % real respecto al mismo </w:t>
            </w:r>
            <w:r>
              <w:rPr>
                <w:rFonts w:ascii="Arial" w:hAnsi="Arial" w:cs="Arial"/>
                <w:color w:val="auto"/>
                <w:sz w:val="18"/>
              </w:rPr>
              <w:t>trimestre</w:t>
            </w:r>
            <w:r w:rsidRPr="00156EF2">
              <w:rPr>
                <w:rFonts w:ascii="Arial" w:hAnsi="Arial" w:cs="Arial"/>
                <w:color w:val="auto"/>
                <w:sz w:val="18"/>
              </w:rPr>
              <w:t xml:space="preserve"> del año anterior</w:t>
            </w:r>
          </w:p>
        </w:tc>
        <w:tc>
          <w:tcPr>
            <w:tcW w:w="4111" w:type="dxa"/>
            <w:shd w:val="clear" w:color="auto" w:fill="BDD6EE" w:themeFill="accent1" w:themeFillTint="66"/>
          </w:tcPr>
          <w:p w:rsidR="00C20CBD" w:rsidRDefault="00C20CBD" w:rsidP="0020143C">
            <w:pPr>
              <w:pStyle w:val="p0"/>
              <w:spacing w:before="120"/>
              <w:ind w:left="127"/>
              <w:jc w:val="center"/>
            </w:pPr>
            <w:r>
              <w:rPr>
                <w:rFonts w:cs="Arial"/>
                <w:sz w:val="18"/>
              </w:rPr>
              <w:t>Contribución a la variación</w:t>
            </w:r>
            <w:r w:rsidRPr="00156EF2">
              <w:rPr>
                <w:rFonts w:cs="Arial"/>
                <w:sz w:val="18"/>
              </w:rPr>
              <w:t xml:space="preserve"> </w:t>
            </w:r>
            <w:r>
              <w:rPr>
                <w:rFonts w:cs="Arial"/>
                <w:sz w:val="18"/>
              </w:rPr>
              <w:t>real del total nacional</w:t>
            </w:r>
            <w:r w:rsidRPr="00962D1C">
              <w:rPr>
                <w:rFonts w:cs="Arial"/>
                <w:sz w:val="18"/>
                <w:vertAlign w:val="superscript"/>
              </w:rPr>
              <w:t>1/</w:t>
            </w:r>
          </w:p>
        </w:tc>
      </w:tr>
      <w:tr w:rsidR="00C20CBD" w:rsidTr="0020143C">
        <w:tblPrEx>
          <w:tblCellMar>
            <w:left w:w="70" w:type="dxa"/>
            <w:right w:w="70" w:type="dxa"/>
          </w:tblCellMar>
        </w:tblPrEx>
        <w:trPr>
          <w:jc w:val="center"/>
        </w:trPr>
        <w:tc>
          <w:tcPr>
            <w:tcW w:w="4346" w:type="dxa"/>
          </w:tcPr>
          <w:p w:rsidR="00C20CBD" w:rsidRDefault="00C20CBD" w:rsidP="0020143C">
            <w:pPr>
              <w:pStyle w:val="p0"/>
              <w:spacing w:before="0"/>
              <w:ind w:left="-116"/>
              <w:jc w:val="center"/>
            </w:pPr>
            <w:r>
              <w:rPr>
                <w:noProof/>
                <w:lang w:val="es-MX" w:eastAsia="es-MX"/>
              </w:rPr>
              <w:drawing>
                <wp:inline distT="0" distB="0" distL="0" distR="0" wp14:anchorId="56784951" wp14:editId="5FA184D0">
                  <wp:extent cx="2484000" cy="4500000"/>
                  <wp:effectExtent l="57150" t="38100" r="69215" b="91440"/>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11" w:type="dxa"/>
          </w:tcPr>
          <w:p w:rsidR="00C20CBD" w:rsidRDefault="00C20CBD" w:rsidP="0020143C">
            <w:pPr>
              <w:pStyle w:val="p0"/>
              <w:spacing w:before="0"/>
              <w:ind w:left="-67" w:right="-74"/>
              <w:jc w:val="center"/>
            </w:pPr>
            <w:r>
              <w:rPr>
                <w:noProof/>
                <w:lang w:val="es-MX" w:eastAsia="es-MX"/>
              </w:rPr>
              <w:drawing>
                <wp:inline distT="0" distB="0" distL="0" distR="0" wp14:anchorId="5270F7FA" wp14:editId="52E6188C">
                  <wp:extent cx="2484000" cy="4500000"/>
                  <wp:effectExtent l="57150" t="38100" r="69215" b="91440"/>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C20CBD" w:rsidRDefault="00C20CBD" w:rsidP="00C20CBD">
      <w:pPr>
        <w:pStyle w:val="Textoindependiente"/>
        <w:spacing w:before="0"/>
        <w:ind w:left="426" w:right="49" w:hanging="142"/>
        <w:rPr>
          <w:rFonts w:cs="Arial"/>
          <w:color w:val="000000"/>
          <w:sz w:val="16"/>
          <w:szCs w:val="16"/>
        </w:rPr>
      </w:pPr>
      <w:r w:rsidRPr="00E07532">
        <w:rPr>
          <w:rFonts w:cs="Arial"/>
          <w:color w:val="000000"/>
          <w:sz w:val="16"/>
          <w:szCs w:val="16"/>
          <w:vertAlign w:val="superscript"/>
        </w:rPr>
        <w:t>1/</w:t>
      </w:r>
      <w:r>
        <w:rPr>
          <w:rFonts w:cs="Arial"/>
          <w:color w:val="000000"/>
          <w:sz w:val="16"/>
          <w:szCs w:val="16"/>
        </w:rPr>
        <w:t xml:space="preserve"> Las contribuciones se obtienen ponderando las tasas de crecimiento con la participación que cada estado tiene en el indicador total.</w:t>
      </w:r>
    </w:p>
    <w:p w:rsidR="00C20CBD" w:rsidRPr="00674D2C" w:rsidRDefault="00C20CBD" w:rsidP="00C20CBD">
      <w:pPr>
        <w:pStyle w:val="Textoindependiente"/>
        <w:widowControl w:val="0"/>
        <w:spacing w:before="0"/>
        <w:ind w:left="142" w:right="51"/>
        <w:jc w:val="left"/>
        <w:rPr>
          <w:rFonts w:cs="Arial"/>
          <w:color w:val="000000"/>
          <w:sz w:val="16"/>
          <w:szCs w:val="16"/>
        </w:rPr>
      </w:pPr>
      <w:r>
        <w:rPr>
          <w:rFonts w:cs="Arial"/>
          <w:color w:val="000000"/>
          <w:sz w:val="16"/>
          <w:szCs w:val="16"/>
        </w:rPr>
        <w:t xml:space="preserve">    Fuente: INEGI</w:t>
      </w:r>
    </w:p>
    <w:p w:rsidR="00C20CBD" w:rsidRPr="00030109"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030109">
        <w:rPr>
          <w:rFonts w:ascii="Arial" w:eastAsia="Calibri" w:hAnsi="Arial" w:cs="Arial"/>
          <w:b/>
          <w:spacing w:val="-1"/>
          <w:sz w:val="17"/>
          <w:szCs w:val="17"/>
        </w:rPr>
        <w:lastRenderedPageBreak/>
        <w:t>Autorización e Historia</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El 4 de octubre de 1824 se establece en México la República Federal, la Constitución incluye a Querétaro como Estado de la Federación. Ahora bien, el artículo 1 de la Constitución Política del Estado de Querétaro, establece:</w:t>
      </w:r>
    </w:p>
    <w:p w:rsidR="00C20CBD" w:rsidRPr="00030109" w:rsidRDefault="00C20CBD" w:rsidP="00C20CBD">
      <w:pPr>
        <w:spacing w:before="120" w:after="120" w:line="240" w:lineRule="exact"/>
        <w:ind w:left="1701" w:right="2515"/>
        <w:jc w:val="both"/>
        <w:rPr>
          <w:rFonts w:ascii="Arial" w:eastAsia="Calibri" w:hAnsi="Arial" w:cs="Arial"/>
          <w:i/>
          <w:spacing w:val="-1"/>
          <w:sz w:val="17"/>
          <w:szCs w:val="17"/>
        </w:rPr>
      </w:pPr>
      <w:r w:rsidRPr="00030109">
        <w:rPr>
          <w:rFonts w:ascii="Arial" w:eastAsia="Calibri" w:hAnsi="Arial" w:cs="Arial"/>
          <w:i/>
          <w:spacing w:val="-1"/>
          <w:sz w:val="17"/>
          <w:szCs w:val="17"/>
        </w:rPr>
        <w:t>“El estado de Querétaro es parte integrante de la Federación Mexicana, es libre y autónomo en lo que se refiere a su régimen interno y sólo delega sus facultades en los Poderes Federales, en todo aquello que fije expresamente la constitución Política de los Estado Unidos mexicas”.</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el artículo 13 del mismo ordenamiento legal, establece:</w:t>
      </w:r>
      <w:r w:rsidRPr="00030109">
        <w:rPr>
          <w:rFonts w:ascii="Arial" w:eastAsia="Calibri" w:hAnsi="Arial" w:cs="Arial"/>
          <w:noProof/>
          <w:spacing w:val="-1"/>
          <w:sz w:val="17"/>
          <w:szCs w:val="17"/>
        </w:rPr>
        <w:t xml:space="preserve"> </w:t>
      </w:r>
    </w:p>
    <w:p w:rsidR="00C20CBD" w:rsidRPr="00030109" w:rsidRDefault="00C20CBD" w:rsidP="00C20CBD">
      <w:pPr>
        <w:spacing w:before="120" w:after="120" w:line="240" w:lineRule="exact"/>
        <w:ind w:left="1701" w:right="2515"/>
        <w:jc w:val="both"/>
        <w:rPr>
          <w:rFonts w:ascii="Arial" w:eastAsia="Calibri" w:hAnsi="Arial" w:cs="Arial"/>
          <w:i/>
          <w:spacing w:val="-1"/>
          <w:sz w:val="17"/>
          <w:szCs w:val="17"/>
        </w:rPr>
      </w:pPr>
      <w:r w:rsidRPr="00030109">
        <w:rPr>
          <w:rFonts w:ascii="Arial" w:eastAsia="Calibri" w:hAnsi="Arial" w:cs="Arial"/>
          <w:i/>
          <w:spacing w:val="-1"/>
          <w:sz w:val="17"/>
          <w:szCs w:val="17"/>
        </w:rPr>
        <w:t>“El Poder Público del Estado se divide para su ejercicio en las funciones: Legislativa, Ejecutiva y Judicial…”</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el capítulo Cuarto, Sección Tercera del precepto legal antes mencionado, estable las facultades y responsabilidades del Poder Ejecutivo del Estado de Querétaro.</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lo que se refiere a la estructura del Poder Ejecutivo del Estado de Querétaro, está manifestada en la Ley Orgánica del Poder Ejecutivo del Estado de Querétaro, publicada en el Periódico Oficial del 17 de noviembre del 2008, con última reforma de fecha 9 de abril de 2019.</w:t>
      </w:r>
    </w:p>
    <w:p w:rsidR="00C20CBD" w:rsidRPr="00030109"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030109">
        <w:rPr>
          <w:rFonts w:ascii="Arial" w:eastAsia="Calibri" w:hAnsi="Arial" w:cs="Arial"/>
          <w:b/>
          <w:spacing w:val="-1"/>
          <w:sz w:val="17"/>
          <w:szCs w:val="17"/>
        </w:rPr>
        <w:t>Organización y Objeto Social</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conformidad a la Constitución Política del Estado de Querétaro en su artículo 2, una de las funciones del Poder Ejecutivo del Estado de Querétaro, como parte integrante del Gobierno del Estado de Querétaro, es:</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De la misma manera en el artículo 3, se establece que:</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lastRenderedPageBreak/>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impulsará el fomento, la organización y la promoción de las actividades formativas, recreativas y competitivas del deporte en la Entidad…</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Asimismo, en el artículo 4, menciona lo siguiente:</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Sistema Educativo Estatal estará orientado a exaltar los valores universales cívicos y democráticos del hombre; a propiciar el conocimiento, la defensa y respeto a los derechos humanos; a fomentar la cultura de la legalidad, 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Por su parte el artículo 5, se establece que:</w:t>
      </w:r>
    </w:p>
    <w:p w:rsidR="00C20CBD" w:rsidRPr="00030109" w:rsidRDefault="00C20CBD" w:rsidP="00C20CBD">
      <w:pPr>
        <w:spacing w:before="120" w:after="120" w:line="240" w:lineRule="exact"/>
        <w:ind w:left="1701" w:right="2231"/>
        <w:jc w:val="both"/>
        <w:rPr>
          <w:rFonts w:ascii="Arial" w:eastAsia="Calibri" w:hAnsi="Arial" w:cs="Arial"/>
          <w:i/>
          <w:spacing w:val="-1"/>
          <w:sz w:val="17"/>
          <w:szCs w:val="17"/>
        </w:rPr>
      </w:pPr>
      <w:r w:rsidRPr="00030109">
        <w:rPr>
          <w:rFonts w:ascii="Arial" w:eastAsia="Calibri" w:hAnsi="Arial" w:cs="Arial"/>
          <w:i/>
          <w:spacing w:val="-1"/>
          <w:sz w:val="17"/>
          <w:szCs w:val="17"/>
        </w:rPr>
        <w:t>“Toda persona tiene derecho a un medio ambiente adecuado para su desarrollo y bienestar integral; es obligación de las autoridades y de los habitantes protegerlo.</w:t>
      </w:r>
    </w:p>
    <w:p w:rsidR="00C20CBD" w:rsidRPr="00030109" w:rsidRDefault="00C20CBD" w:rsidP="00C20CBD">
      <w:pPr>
        <w:spacing w:before="120" w:after="120" w:line="240" w:lineRule="exact"/>
        <w:ind w:left="1701" w:right="2231"/>
        <w:jc w:val="both"/>
        <w:rPr>
          <w:rFonts w:ascii="Arial" w:eastAsia="Calibri" w:hAnsi="Arial" w:cs="Arial"/>
          <w:i/>
          <w:spacing w:val="-1"/>
          <w:sz w:val="17"/>
          <w:szCs w:val="17"/>
        </w:rPr>
      </w:pPr>
      <w:r w:rsidRPr="00030109">
        <w:rPr>
          <w:rFonts w:ascii="Arial" w:eastAsia="Calibri" w:hAnsi="Arial" w:cs="Arial"/>
          <w:i/>
          <w:spacing w:val="-1"/>
          <w:sz w:val="17"/>
          <w:szCs w:val="17"/>
        </w:rPr>
        <w:t>La protección, la conservación, la restauración y la sustentabilidad de los recursos naturales serán tareas prioritarias del Estado.”</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Por último, en el artículo 6 se señala que:</w:t>
      </w:r>
    </w:p>
    <w:p w:rsidR="00C20CBD" w:rsidRPr="00030109" w:rsidRDefault="00C20CBD" w:rsidP="00C20CBD">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“Toda persona tiene derecho a acceder de forma libre y universal a Internet y a las tecnologías de la información y la comunicación.</w:t>
      </w:r>
    </w:p>
    <w:p w:rsidR="00C20CBD" w:rsidRPr="00030109" w:rsidRDefault="00C20CBD" w:rsidP="00C20CBD">
      <w:pPr>
        <w:tabs>
          <w:tab w:val="left" w:pos="11340"/>
        </w:tabs>
        <w:spacing w:before="120" w:after="120" w:line="240" w:lineRule="exact"/>
        <w:ind w:left="1701" w:right="1948"/>
        <w:jc w:val="both"/>
        <w:rPr>
          <w:rFonts w:ascii="Arial" w:eastAsia="Calibri" w:hAnsi="Arial" w:cs="Arial"/>
          <w:i/>
          <w:spacing w:val="-1"/>
          <w:sz w:val="17"/>
          <w:szCs w:val="17"/>
        </w:rPr>
      </w:pPr>
      <w:r w:rsidRPr="00030109">
        <w:rPr>
          <w:rFonts w:ascii="Arial" w:eastAsia="Calibri" w:hAnsi="Arial" w:cs="Arial"/>
          <w:i/>
          <w:spacing w:val="-1"/>
          <w:sz w:val="17"/>
          <w:szCs w:val="17"/>
        </w:rPr>
        <w:t>El Estado está obligado a implementar las políticas necesarias para hacer efectivo este derecho, en los términos establecidos por la Ley.”</w:t>
      </w:r>
    </w:p>
    <w:p w:rsidR="00C20CBD" w:rsidRPr="00030109"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Para el desarrollo de las actividades realizadas por el Poder Ejecutivo del Estado de Querétaro, éstas se encuentran delimitadas en la Ley Orgánica del Poder Ejecutivo del Estado de Querétaro, en la que se establece su estructura organizacional. Asimismo, para la realización de los diversos programas y actividades de gobierno, el ejercicio fiscal 2020 contempla el periodo del 1 de enero al 31 de diciembre del 2020.</w:t>
      </w:r>
    </w:p>
    <w:p w:rsidR="00C20CBD" w:rsidRPr="002302DE" w:rsidRDefault="00C20CBD" w:rsidP="00C20CBD">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lastRenderedPageBreak/>
        <w:t>En cuanto a las obligaciones fiscales del Poder Ejecutivo del Estado de Querétaro, se encuentran establecidos en los diversos ordenamientos legales fiscales tanto de ámbito federal, así como en el aspecto local.</w:t>
      </w:r>
    </w:p>
    <w:p w:rsidR="00C20CBD" w:rsidRDefault="00C20CBD" w:rsidP="00C20CBD">
      <w:pPr>
        <w:spacing w:before="120" w:after="120" w:line="240" w:lineRule="exact"/>
        <w:jc w:val="both"/>
        <w:rPr>
          <w:rFonts w:ascii="Arial" w:eastAsia="Calibri" w:hAnsi="Arial" w:cs="Arial"/>
          <w:spacing w:val="-1"/>
          <w:sz w:val="17"/>
          <w:szCs w:val="17"/>
        </w:rPr>
      </w:pPr>
    </w:p>
    <w:p w:rsidR="00C20CBD" w:rsidRPr="00A67440"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Bases de Preparación de los Estados Financieros</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 (CONAC).</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en lo referente a la valuación y revelación de diversos rubros de la información financiera, se ha considerado lo establecido en las “</w:t>
      </w:r>
      <w:r w:rsidRPr="00F50AC7">
        <w:rPr>
          <w:rFonts w:ascii="Arial" w:eastAsia="Calibri" w:hAnsi="Arial" w:cs="Arial"/>
          <w:b/>
          <w:spacing w:val="-1"/>
          <w:sz w:val="17"/>
          <w:szCs w:val="17"/>
        </w:rPr>
        <w:t>Principales Reglas de Registro y Valoración del Patrimonio (Elementos Generales)</w:t>
      </w:r>
      <w:r w:rsidRPr="00F50AC7">
        <w:rPr>
          <w:rFonts w:ascii="Arial" w:eastAsia="Calibri" w:hAnsi="Arial" w:cs="Arial"/>
          <w:spacing w:val="-1"/>
          <w:sz w:val="17"/>
          <w:szCs w:val="17"/>
        </w:rPr>
        <w:t>” así como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ambas emitidas por el CONAC, tomando como base de medición para la elaboración de los estados financieros el costo histórico, dado que es el monto pagado de efectivo o equivalentes por un activo o servicio al momento de su adquisición.</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lo refer</w:t>
      </w:r>
      <w:r>
        <w:rPr>
          <w:rFonts w:ascii="Arial" w:eastAsia="Calibri" w:hAnsi="Arial" w:cs="Arial"/>
          <w:spacing w:val="-1"/>
          <w:sz w:val="17"/>
          <w:szCs w:val="17"/>
        </w:rPr>
        <w:t>ente a los postulados básicos, é</w:t>
      </w:r>
      <w:r w:rsidRPr="00F50AC7">
        <w:rPr>
          <w:rFonts w:ascii="Arial" w:eastAsia="Calibri" w:hAnsi="Arial" w:cs="Arial"/>
          <w:spacing w:val="-1"/>
          <w:sz w:val="17"/>
          <w:szCs w:val="17"/>
        </w:rPr>
        <w:t>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rsidR="00C20CBD"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Para el caso </w:t>
      </w:r>
      <w:r w:rsidRPr="003E1E44">
        <w:rPr>
          <w:rFonts w:ascii="Arial" w:eastAsia="Calibri" w:hAnsi="Arial" w:cs="Arial"/>
          <w:spacing w:val="-1"/>
          <w:sz w:val="17"/>
          <w:szCs w:val="17"/>
        </w:rPr>
        <w:t>del presente Informe</w:t>
      </w:r>
      <w:r>
        <w:rPr>
          <w:rFonts w:ascii="Arial" w:eastAsia="Calibri" w:hAnsi="Arial" w:cs="Arial"/>
          <w:spacing w:val="-1"/>
          <w:sz w:val="17"/>
          <w:szCs w:val="17"/>
        </w:rPr>
        <w:t xml:space="preserve"> del Poder Ejecutivo</w:t>
      </w:r>
      <w:r w:rsidRPr="00F50AC7">
        <w:rPr>
          <w:rFonts w:ascii="Arial" w:eastAsia="Calibri" w:hAnsi="Arial" w:cs="Arial"/>
          <w:spacing w:val="-1"/>
          <w:sz w:val="17"/>
          <w:szCs w:val="17"/>
        </w:rPr>
        <w:t xml:space="preserve"> del Estado de Querétaro, no se ha aplicado alguna Normatividad Supletoria.</w:t>
      </w:r>
    </w:p>
    <w:p w:rsidR="00C20CBD" w:rsidRPr="00A67440" w:rsidRDefault="00C20CBD" w:rsidP="00C20CBD">
      <w:pPr>
        <w:spacing w:before="120" w:after="120" w:line="240" w:lineRule="exact"/>
        <w:jc w:val="both"/>
        <w:rPr>
          <w:rFonts w:ascii="Arial" w:eastAsia="Calibri" w:hAnsi="Arial" w:cs="Arial"/>
          <w:spacing w:val="-1"/>
          <w:sz w:val="17"/>
          <w:szCs w:val="17"/>
        </w:rPr>
      </w:pPr>
    </w:p>
    <w:p w:rsidR="00C20CBD" w:rsidRPr="00A67440"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Políticas de Contabilidad Significativas</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cuanto a las políticas contables, se comenta lo siguiente:</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Atendiendo a lo estipulado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que refiere a que el Índice Nacional de Precios al Consumidor acumulado durante un periodo de tres años sea igual o superior al 100%, a la fecha de la emisión de</w:t>
      </w:r>
      <w:r>
        <w:rPr>
          <w:rFonts w:ascii="Arial" w:eastAsia="Calibri" w:hAnsi="Arial" w:cs="Arial"/>
          <w:spacing w:val="-1"/>
          <w:sz w:val="17"/>
          <w:szCs w:val="17"/>
        </w:rPr>
        <w:t>l Informe</w:t>
      </w:r>
      <w:r w:rsidRPr="00F50AC7">
        <w:rPr>
          <w:rFonts w:ascii="Arial" w:eastAsia="Calibri" w:hAnsi="Arial" w:cs="Arial"/>
          <w:spacing w:val="-1"/>
          <w:sz w:val="17"/>
          <w:szCs w:val="17"/>
        </w:rPr>
        <w:t>, no ha excedido del tal porcentaje, por lo cual no se ha realizado actualización alguna en ningún rubro del activo, pasivo y hacienda pública.</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el Poder Ejecutivo del Estado de Querétaro, no ha efectuado operaciones en el extranjero y no ha tenido efecto alguno en la información financiera gubernamental.</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De la misma manera no existen acciones de Compañías subsidiarias no consolidadas y asociadas. No se tiene una actividad comercial, por lo que no existe Sistema y método de valuación de inventarios y costo de lo vendido.</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cuanto a las políticas para el cálculo de la reserva actuarial, </w:t>
      </w:r>
      <w:r>
        <w:rPr>
          <w:rFonts w:ascii="Arial" w:eastAsia="Calibri" w:hAnsi="Arial" w:cs="Arial"/>
          <w:spacing w:val="-1"/>
          <w:sz w:val="17"/>
          <w:szCs w:val="17"/>
        </w:rPr>
        <w:t>é</w:t>
      </w:r>
      <w:r w:rsidRPr="00F50AC7">
        <w:rPr>
          <w:rFonts w:ascii="Arial" w:eastAsia="Calibri" w:hAnsi="Arial" w:cs="Arial"/>
          <w:spacing w:val="-1"/>
          <w:sz w:val="17"/>
          <w:szCs w:val="17"/>
        </w:rPr>
        <w:t xml:space="preserve">stas se encuentran plasmadas en </w:t>
      </w:r>
      <w:r>
        <w:rPr>
          <w:rFonts w:ascii="Arial" w:eastAsia="Calibri" w:hAnsi="Arial" w:cs="Arial"/>
          <w:spacing w:val="-1"/>
          <w:sz w:val="17"/>
          <w:szCs w:val="17"/>
        </w:rPr>
        <w:t>el</w:t>
      </w:r>
      <w:r w:rsidRPr="00F50AC7">
        <w:rPr>
          <w:rFonts w:ascii="Arial" w:eastAsia="Calibri" w:hAnsi="Arial" w:cs="Arial"/>
          <w:spacing w:val="-1"/>
          <w:sz w:val="17"/>
          <w:szCs w:val="17"/>
        </w:rPr>
        <w:t xml:space="preserve"> estudio</w:t>
      </w:r>
      <w:r>
        <w:rPr>
          <w:rFonts w:ascii="Arial" w:eastAsia="Calibri" w:hAnsi="Arial" w:cs="Arial"/>
          <w:spacing w:val="-1"/>
          <w:sz w:val="17"/>
          <w:szCs w:val="17"/>
        </w:rPr>
        <w:t xml:space="preserve"> actuarial realizado al Poder Ejecutivo del Estado de Querétaro</w:t>
      </w:r>
      <w:r w:rsidRPr="00F50AC7">
        <w:rPr>
          <w:rFonts w:ascii="Arial" w:eastAsia="Calibri" w:hAnsi="Arial" w:cs="Arial"/>
          <w:spacing w:val="-1"/>
          <w:sz w:val="17"/>
          <w:szCs w:val="17"/>
        </w:rPr>
        <w:t>.</w:t>
      </w:r>
    </w:p>
    <w:p w:rsidR="00C20CBD" w:rsidRPr="00F50AC7"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el efecto que tiene</w:t>
      </w:r>
      <w:r>
        <w:rPr>
          <w:rFonts w:ascii="Arial" w:eastAsia="Calibri" w:hAnsi="Arial" w:cs="Arial"/>
          <w:spacing w:val="-1"/>
          <w:sz w:val="17"/>
          <w:szCs w:val="17"/>
        </w:rPr>
        <w:t xml:space="preserve"> la</w:t>
      </w:r>
      <w:r w:rsidRPr="00F50AC7">
        <w:rPr>
          <w:rFonts w:ascii="Arial" w:eastAsia="Calibri" w:hAnsi="Arial" w:cs="Arial"/>
          <w:spacing w:val="-1"/>
          <w:sz w:val="17"/>
          <w:szCs w:val="17"/>
        </w:rPr>
        <w:t xml:space="preserve">s </w:t>
      </w:r>
      <w:r>
        <w:rPr>
          <w:rFonts w:ascii="Arial" w:eastAsia="Calibri" w:hAnsi="Arial" w:cs="Arial"/>
          <w:spacing w:val="-1"/>
          <w:sz w:val="17"/>
          <w:szCs w:val="17"/>
        </w:rPr>
        <w:t>correccio</w:t>
      </w:r>
      <w:r w:rsidRPr="00F50AC7">
        <w:rPr>
          <w:rFonts w:ascii="Arial" w:eastAsia="Calibri" w:hAnsi="Arial" w:cs="Arial"/>
          <w:spacing w:val="-1"/>
          <w:sz w:val="17"/>
          <w:szCs w:val="17"/>
        </w:rPr>
        <w:t>n</w:t>
      </w:r>
      <w:r>
        <w:rPr>
          <w:rFonts w:ascii="Arial" w:eastAsia="Calibri" w:hAnsi="Arial" w:cs="Arial"/>
          <w:spacing w:val="-1"/>
          <w:sz w:val="17"/>
          <w:szCs w:val="17"/>
        </w:rPr>
        <w:t>es</w:t>
      </w:r>
      <w:r w:rsidRPr="00F50AC7">
        <w:rPr>
          <w:rFonts w:ascii="Arial" w:eastAsia="Calibri" w:hAnsi="Arial" w:cs="Arial"/>
          <w:spacing w:val="-1"/>
          <w:sz w:val="17"/>
          <w:szCs w:val="17"/>
        </w:rPr>
        <w:t xml:space="preserve"> de errores</w:t>
      </w:r>
      <w:r>
        <w:rPr>
          <w:rFonts w:ascii="Arial" w:eastAsia="Calibri" w:hAnsi="Arial" w:cs="Arial"/>
          <w:spacing w:val="-1"/>
          <w:sz w:val="17"/>
          <w:szCs w:val="17"/>
        </w:rPr>
        <w:t xml:space="preserve"> en la información financiera, é</w:t>
      </w:r>
      <w:r w:rsidRPr="00F50AC7">
        <w:rPr>
          <w:rFonts w:ascii="Arial" w:eastAsia="Calibri" w:hAnsi="Arial" w:cs="Arial"/>
          <w:spacing w:val="-1"/>
          <w:sz w:val="17"/>
          <w:szCs w:val="17"/>
        </w:rPr>
        <w:t>stos son revelados en las Notas de Desglose, en particular en lo que se observa en las Notas al Estado de Variación en la Hacienda Pública.</w:t>
      </w:r>
    </w:p>
    <w:p w:rsidR="00C20CBD" w:rsidRDefault="00C20CBD" w:rsidP="00C20CBD">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lo referente a la Depuración y cancelación de saldos, las políticas particulares están contenidas en el Anexo II del Manual de Contabilidad Gubernamental del Poder Ejecutivo del </w:t>
      </w:r>
      <w:r>
        <w:rPr>
          <w:rFonts w:ascii="Arial" w:eastAsia="Calibri" w:hAnsi="Arial" w:cs="Arial"/>
          <w:spacing w:val="-1"/>
          <w:sz w:val="17"/>
          <w:szCs w:val="17"/>
        </w:rPr>
        <w:t>E</w:t>
      </w:r>
      <w:r w:rsidRPr="00F50AC7">
        <w:rPr>
          <w:rFonts w:ascii="Arial" w:eastAsia="Calibri" w:hAnsi="Arial" w:cs="Arial"/>
          <w:spacing w:val="-1"/>
          <w:sz w:val="17"/>
          <w:szCs w:val="17"/>
        </w:rPr>
        <w:t>stado de Querétaro.</w:t>
      </w:r>
    </w:p>
    <w:p w:rsidR="00C20CBD" w:rsidRPr="00D87310" w:rsidRDefault="00C20CBD" w:rsidP="00C20CBD">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informa que a lo largo del ejercicio se ha realizado el análisis de la cuenta obras en proceso a tal efecto de presentar el saldo depurado en esta cuenta quedando reflejado el monto de las o</w:t>
      </w:r>
      <w:r w:rsidRPr="00D87310">
        <w:rPr>
          <w:rFonts w:ascii="Arial" w:eastAsia="Calibri" w:hAnsi="Arial" w:cs="Arial"/>
          <w:spacing w:val="-1"/>
          <w:sz w:val="17"/>
          <w:szCs w:val="17"/>
        </w:rPr>
        <w:t>bras que se encuentran en proceso de ser concluidas.</w:t>
      </w:r>
    </w:p>
    <w:p w:rsidR="00C20CBD" w:rsidRDefault="00C20CBD" w:rsidP="00C20CBD">
      <w:pPr>
        <w:spacing w:before="120" w:after="120" w:line="240" w:lineRule="exact"/>
        <w:jc w:val="both"/>
        <w:rPr>
          <w:rFonts w:ascii="Arial" w:eastAsia="Calibri" w:hAnsi="Arial" w:cs="Arial"/>
          <w:spacing w:val="-1"/>
          <w:sz w:val="17"/>
          <w:szCs w:val="17"/>
        </w:rPr>
      </w:pPr>
      <w:r w:rsidRPr="00941B09">
        <w:rPr>
          <w:rFonts w:ascii="Arial" w:eastAsia="Calibri" w:hAnsi="Arial" w:cs="Arial"/>
          <w:spacing w:val="-1"/>
          <w:sz w:val="17"/>
          <w:szCs w:val="17"/>
        </w:rPr>
        <w:lastRenderedPageBreak/>
        <w:t>El Poder Ejecutivo en apego al artículo 32 de la Ley General de Contabilidad Gubernamental, ha actualizado el valor de la participación que tiene en las Entidades Paraestatales, el cual tuvo como resultado un incremento en el rubro del activo no circulante, así como el respectivo reconocimiento en Otros Ingresos y Beneficios Varios, Otros Gastos y en Rectificaciones de resultados de ejercicios anteriores.</w:t>
      </w:r>
    </w:p>
    <w:p w:rsidR="00C20CBD" w:rsidRDefault="00C20CBD" w:rsidP="00C20CBD">
      <w:pPr>
        <w:rPr>
          <w:rFonts w:ascii="Arial" w:eastAsia="Calibri" w:hAnsi="Arial" w:cs="Arial"/>
          <w:spacing w:val="-1"/>
          <w:sz w:val="17"/>
          <w:szCs w:val="17"/>
        </w:rPr>
      </w:pPr>
    </w:p>
    <w:p w:rsidR="00C20CBD" w:rsidRPr="00A67440"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Posición en Moneda Extranjera y Protección por Riesgo Cambiario</w:t>
      </w:r>
    </w:p>
    <w:p w:rsidR="00C20CBD" w:rsidRPr="00A67440" w:rsidRDefault="00C20CBD" w:rsidP="00C20CBD">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Se informa que no existen posiciones en Moneda Extranjera.</w:t>
      </w:r>
    </w:p>
    <w:p w:rsidR="00C20CBD" w:rsidRDefault="00C20CBD" w:rsidP="00C20CBD">
      <w:pPr>
        <w:spacing w:before="120" w:after="120" w:line="240" w:lineRule="exact"/>
        <w:jc w:val="both"/>
        <w:rPr>
          <w:rFonts w:ascii="Arial" w:eastAsia="Calibri" w:hAnsi="Arial" w:cs="Arial"/>
          <w:spacing w:val="-1"/>
          <w:sz w:val="17"/>
          <w:szCs w:val="17"/>
        </w:rPr>
      </w:pPr>
    </w:p>
    <w:p w:rsidR="00C20CBD" w:rsidRPr="0010523D" w:rsidRDefault="00C20CBD" w:rsidP="00C20CBD">
      <w:pPr>
        <w:pStyle w:val="Prrafodelista"/>
        <w:numPr>
          <w:ilvl w:val="0"/>
          <w:numId w:val="14"/>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Analítico del Activo</w:t>
      </w:r>
    </w:p>
    <w:p w:rsidR="00C20CBD" w:rsidRPr="00DA3F3D" w:rsidRDefault="00C20CBD" w:rsidP="00C20CBD">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Para efecto del Estado Analítico del Activo se comenta lo siguiente:</w:t>
      </w:r>
    </w:p>
    <w:p w:rsidR="00C20CBD" w:rsidRPr="00DA3F3D" w:rsidRDefault="00C20CBD" w:rsidP="00C20CBD">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 la vida útil, porcentajes</w:t>
      </w:r>
      <w:r>
        <w:rPr>
          <w:rFonts w:ascii="Arial" w:eastAsia="Calibri" w:hAnsi="Arial" w:cs="Arial"/>
          <w:spacing w:val="-1"/>
          <w:sz w:val="17"/>
          <w:szCs w:val="17"/>
        </w:rPr>
        <w:t xml:space="preserve"> de depreciación y amortización </w:t>
      </w:r>
      <w:r w:rsidRPr="00DA3F3D">
        <w:rPr>
          <w:rFonts w:ascii="Arial" w:eastAsia="Calibri" w:hAnsi="Arial" w:cs="Arial"/>
          <w:spacing w:val="-1"/>
          <w:sz w:val="17"/>
          <w:szCs w:val="17"/>
        </w:rPr>
        <w:t>de los diferentes tipos de activos no circulantes, se encuentran revelados en las Notas de Desglose, en particular en las Notas al Estado de Situación Financiera, en el apartado “5 Bienes Muebles, Inmuebles e Intangibles”.</w:t>
      </w:r>
    </w:p>
    <w:p w:rsidR="00C20CBD" w:rsidRPr="00DA3F3D" w:rsidRDefault="00C20CBD" w:rsidP="00C20CBD">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rsidR="00C20CBD" w:rsidRPr="00DA3F3D" w:rsidRDefault="00C20CBD" w:rsidP="00C20CBD">
      <w:pPr>
        <w:spacing w:before="80" w:line="250" w:lineRule="exact"/>
        <w:ind w:left="709"/>
        <w:jc w:val="both"/>
        <w:rPr>
          <w:rFonts w:ascii="Arial" w:eastAsia="Calibri" w:hAnsi="Arial" w:cs="Arial"/>
          <w:spacing w:val="-1"/>
          <w:sz w:val="17"/>
          <w:szCs w:val="17"/>
        </w:rPr>
      </w:pPr>
    </w:p>
    <w:p w:rsidR="00FE41FE" w:rsidRPr="00DA3F3D" w:rsidRDefault="00FE41FE" w:rsidP="00C20CBD">
      <w:pPr>
        <w:spacing w:before="80" w:line="250" w:lineRule="exact"/>
        <w:ind w:left="709"/>
        <w:jc w:val="both"/>
        <w:rPr>
          <w:rFonts w:ascii="Arial" w:eastAsia="Calibri" w:hAnsi="Arial" w:cs="Arial"/>
          <w:spacing w:val="-1"/>
          <w:sz w:val="17"/>
          <w:szCs w:val="17"/>
        </w:rPr>
      </w:pPr>
    </w:p>
    <w:sectPr w:rsidR="00FE41FE" w:rsidRPr="00DA3F3D" w:rsidSect="000C2DE0">
      <w:headerReference w:type="even" r:id="rId14"/>
      <w:headerReference w:type="default" r:id="rId15"/>
      <w:footerReference w:type="even" r:id="rId16"/>
      <w:footerReference w:type="default" r:id="rId17"/>
      <w:type w:val="continuous"/>
      <w:pgSz w:w="15840" w:h="12240" w:orient="landscape" w:code="1"/>
      <w:pgMar w:top="1560" w:right="1418" w:bottom="851" w:left="1134" w:header="851" w:footer="308"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74" w:rsidRDefault="005B3874">
      <w:r>
        <w:separator/>
      </w:r>
    </w:p>
  </w:endnote>
  <w:endnote w:type="continuationSeparator" w:id="0">
    <w:p w:rsidR="005B3874" w:rsidRDefault="005B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6F" w:rsidRPr="00CF00D0" w:rsidRDefault="00AE626F"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2576" behindDoc="0" locked="0" layoutInCell="1" allowOverlap="1" wp14:anchorId="1223F082" wp14:editId="07CE5A23">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7F9B7562" id="Rectángulo 14" o:spid="_x0000_s1026" style="position:absolute;margin-left:0;margin-top:0;width:664.75pt;height:3.5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C20CBD">
      <w:rPr>
        <w:rFonts w:ascii="Avenir LT Std 45 Book" w:hAnsi="Avenir LT Std 45 Book" w:cs="Arial"/>
        <w:noProof/>
        <w:color w:val="808080"/>
        <w:szCs w:val="20"/>
      </w:rPr>
      <w:t>14</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C20CBD">
      <w:rPr>
        <w:rFonts w:ascii="Avenir LT Std 45 Book" w:hAnsi="Avenir LT Std 45 Book" w:cs="Arial"/>
        <w:noProof/>
        <w:color w:val="808080"/>
        <w:szCs w:val="20"/>
      </w:rPr>
      <w:t>21</w:t>
    </w:r>
    <w:r w:rsidRPr="00CF00D0">
      <w:rPr>
        <w:rFonts w:ascii="Avenir LT Std 45 Book" w:hAnsi="Avenir LT Std 45 Book" w:cs="Arial"/>
        <w:color w:val="808080"/>
        <w:szCs w:val="20"/>
      </w:rPr>
      <w:fldChar w:fldCharType="end"/>
    </w:r>
  </w:p>
  <w:p w:rsidR="00AE626F" w:rsidRPr="00813029" w:rsidRDefault="00AE626F" w:rsidP="008130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6F" w:rsidRPr="00CF00D0" w:rsidRDefault="00AE626F"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63360" behindDoc="0" locked="0" layoutInCell="1" allowOverlap="1" wp14:anchorId="114B1BF6" wp14:editId="097C5967">
              <wp:simplePos x="0" y="0"/>
              <wp:positionH relativeFrom="margin">
                <wp:posOffset>-2540</wp:posOffset>
              </wp:positionH>
              <wp:positionV relativeFrom="page">
                <wp:posOffset>7219315</wp:posOffset>
              </wp:positionV>
              <wp:extent cx="8442325" cy="45085"/>
              <wp:effectExtent l="0" t="0" r="15875" b="12065"/>
              <wp:wrapSquare wrapText="bothSides"/>
              <wp:docPr id="6" name="Rectángulo 6"/>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5CCBB381" id="Rectángulo 6" o:spid="_x0000_s1026" style="position:absolute;margin-left:-.2pt;margin-top:568.45pt;width:664.7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" fillcolor="#a5a5a5 [3206]" strokecolor="#525252 [1606]" strokeweight="1p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C20CBD">
      <w:rPr>
        <w:rFonts w:ascii="Avenir LT Std 45 Book" w:hAnsi="Avenir LT Std 45 Book" w:cs="Arial"/>
        <w:noProof/>
        <w:color w:val="808080"/>
        <w:szCs w:val="20"/>
      </w:rPr>
      <w:t>13</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C20CBD">
      <w:rPr>
        <w:rFonts w:ascii="Avenir LT Std 45 Book" w:hAnsi="Avenir LT Std 45 Book" w:cs="Arial"/>
        <w:noProof/>
        <w:color w:val="808080"/>
        <w:szCs w:val="20"/>
      </w:rPr>
      <w:t>21</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74" w:rsidRDefault="005B3874">
      <w:r>
        <w:separator/>
      </w:r>
    </w:p>
  </w:footnote>
  <w:footnote w:type="continuationSeparator" w:id="0">
    <w:p w:rsidR="005B3874" w:rsidRDefault="005B3874">
      <w:r>
        <w:continuationSeparator/>
      </w:r>
    </w:p>
  </w:footnote>
  <w:footnote w:id="1">
    <w:p w:rsidR="00AE626F" w:rsidRPr="000008C2" w:rsidRDefault="00AE626F">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informe de deuda pública en la nota 11 “información sobre la Deuda y el Reporte Analítico de la Deuda” de las notas de Gestión Administrativa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6F" w:rsidRPr="002809DB" w:rsidRDefault="00AE626F" w:rsidP="00627A77">
    <w:pPr>
      <w:rPr>
        <w:rFonts w:ascii="Soberana Sans Light" w:hAnsi="Soberana Sans Light"/>
        <w:b/>
        <w:sz w:val="20"/>
        <w:szCs w:val="20"/>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-332884</wp:posOffset>
          </wp:positionV>
          <wp:extent cx="1564005" cy="58166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TADO_QUERET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005" cy="581660"/>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52E85D3F" wp14:editId="374E2962">
              <wp:simplePos x="0" y="0"/>
              <wp:positionH relativeFrom="margin">
                <wp:align>right</wp:align>
              </wp:positionH>
              <wp:positionV relativeFrom="paragraph">
                <wp:posOffset>-97209</wp:posOffset>
              </wp:positionV>
              <wp:extent cx="1940560" cy="308540"/>
              <wp:effectExtent l="0" t="0" r="254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0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26F" w:rsidRPr="00CF00D0" w:rsidRDefault="00AE626F"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85D3F" id="_x0000_t202" coordsize="21600,21600" o:spt="202" path="m,l,21600r21600,l21600,xe">
              <v:stroke joinstyle="miter"/>
              <v:path gradientshapeok="t" o:connecttype="rect"/>
            </v:shapetype>
            <v:shape id="Cuadro de texto 5" o:spid="_x0000_s1026" type="#_x0000_t202" style="position:absolute;margin-left:101.6pt;margin-top:-7.65pt;width:152.8pt;height:24.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" stroked="f">
              <v:textbox>
                <w:txbxContent>
                  <w:p w:rsidR="00AE626F" w:rsidRPr="00CF00D0" w:rsidRDefault="00AE626F"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2020</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8A2502B" wp14:editId="75EA596F">
              <wp:simplePos x="0" y="0"/>
              <wp:positionH relativeFrom="column">
                <wp:posOffset>6488523</wp:posOffset>
              </wp:positionH>
              <wp:positionV relativeFrom="paragraph">
                <wp:posOffset>-422579</wp:posOffset>
              </wp:positionV>
              <wp:extent cx="1940560" cy="398297"/>
              <wp:effectExtent l="0" t="0" r="2540" b="1905"/>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98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26F" w:rsidRPr="00CF00D0" w:rsidRDefault="00AE626F"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502B" id="_x0000_s1027" type="#_x0000_t202" style="position:absolute;margin-left:510.9pt;margin-top:-33.25pt;width:152.8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" stroked="f">
              <v:textbox>
                <w:txbxContent>
                  <w:p w:rsidR="00AE626F" w:rsidRPr="00CF00D0" w:rsidRDefault="00AE626F"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v:textbox>
            </v:shape>
          </w:pict>
        </mc:Fallback>
      </mc:AlternateContent>
    </w:r>
    <w:r>
      <w:rPr>
        <w:rFonts w:ascii="Arial" w:hAnsi="Arial" w:cs="Arial"/>
        <w:b/>
        <w:caps/>
        <w:noProof/>
        <w:color w:val="808080"/>
        <w:sz w:val="20"/>
        <w:szCs w:val="20"/>
      </w:rPr>
      <mc:AlternateContent>
        <mc:Choice Requires="wps">
          <w:drawing>
            <wp:anchor distT="0" distB="0" distL="114300" distR="114300" simplePos="0" relativeHeight="251665408" behindDoc="0" locked="0" layoutInCell="1" allowOverlap="1" wp14:anchorId="3A75F308" wp14:editId="59F94F8C">
              <wp:simplePos x="0" y="0"/>
              <wp:positionH relativeFrom="margin">
                <wp:align>left</wp:align>
              </wp:positionH>
              <wp:positionV relativeFrom="paragraph">
                <wp:posOffset>268636</wp:posOffset>
              </wp:positionV>
              <wp:extent cx="8442773" cy="45719"/>
              <wp:effectExtent l="0" t="0" r="15875" b="12065"/>
              <wp:wrapNone/>
              <wp:docPr id="9" name="Rectángulo 9"/>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56FBCF11" id="Rectángulo 9" o:spid="_x0000_s1026" style="position:absolute;margin-left:0;margin-top:21.15pt;width:664.8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" fillcolor="#a5a5a5 [3206]" strokecolor="#525252 [1606]" strokeweight="1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6F" w:rsidRPr="00CF00D0" w:rsidRDefault="00AE626F" w:rsidP="00823211">
    <w:pPr>
      <w:jc w:val="center"/>
      <w:rPr>
        <w:rFonts w:ascii="Avenir LT Std 45 Book" w:hAnsi="Avenir LT Std 45 Book"/>
        <w:b/>
        <w:color w:val="808080"/>
        <w:sz w:val="20"/>
        <w:szCs w:val="20"/>
      </w:rPr>
    </w:pPr>
    <w:r w:rsidRPr="00CF00D0">
      <w:rPr>
        <w:rFonts w:ascii="Avenir LT Std 45 Book" w:hAnsi="Avenir LT Std 45 Book" w:cs="Arial"/>
        <w:b/>
        <w:caps/>
        <w:noProof/>
        <w:color w:val="808080"/>
        <w:sz w:val="20"/>
        <w:szCs w:val="20"/>
      </w:rPr>
      <mc:AlternateContent>
        <mc:Choice Requires="wps">
          <w:drawing>
            <wp:anchor distT="0" distB="0" distL="114300" distR="114300" simplePos="0" relativeHeight="251661312" behindDoc="0" locked="0" layoutInCell="1" allowOverlap="1" wp14:anchorId="6BD6905B" wp14:editId="216CE04E">
              <wp:simplePos x="0" y="0"/>
              <wp:positionH relativeFrom="margin">
                <wp:align>center</wp:align>
              </wp:positionH>
              <wp:positionV relativeFrom="paragraph">
                <wp:posOffset>319405</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77EA" id="Rectángulo 5" o:spid="_x0000_s1026" style="position:absolute;margin-left:0;margin-top:25.15pt;width:664.8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" fillcolor="#a5a5a5 [3206]" strokecolor="#525252 [1606]" strokeweight="1pt">
              <w10:wrap anchorx="margin"/>
            </v:rect>
          </w:pict>
        </mc:Fallback>
      </mc:AlternateContent>
    </w:r>
    <w:r w:rsidRPr="006136CD">
      <w:t xml:space="preserve"> </w:t>
    </w:r>
    <w:r w:rsidRPr="006136CD">
      <w:rPr>
        <w:rFonts w:ascii="Avenir LT Std 45 Book" w:hAnsi="Avenir LT Std 45 Book" w:cs="Arial"/>
        <w:b/>
        <w:caps/>
        <w:noProof/>
        <w:color w:val="808080"/>
        <w:sz w:val="20"/>
        <w:szCs w:val="20"/>
      </w:rPr>
      <w:t>2.1.2.2.0 FIDEICOMISOS EMPRESARIALES NO FINANCIEROS CON PARTICIPACIÓN ESTATAL MAYORITARIA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3">
    <w:nsid w:val="0EBC78DB"/>
    <w:multiLevelType w:val="hybridMultilevel"/>
    <w:tmpl w:val="F2C87D0A"/>
    <w:lvl w:ilvl="0" w:tplc="9FD07BC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1C5117"/>
    <w:multiLevelType w:val="hybridMultilevel"/>
    <w:tmpl w:val="95CACD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11787C96">
      <w:numFmt w:val="bullet"/>
      <w:lvlText w:val="•"/>
      <w:lvlJc w:val="left"/>
      <w:pPr>
        <w:ind w:left="3945" w:hanging="705"/>
      </w:pPr>
      <w:rPr>
        <w:rFonts w:ascii="Arial" w:eastAsia="Calibri" w:hAnsi="Arial"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885BE7"/>
    <w:multiLevelType w:val="hybridMultilevel"/>
    <w:tmpl w:val="DF64ABCC"/>
    <w:lvl w:ilvl="0" w:tplc="F2461300">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EF77FE"/>
    <w:multiLevelType w:val="multilevel"/>
    <w:tmpl w:val="CF34A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1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50120857"/>
    <w:multiLevelType w:val="hybridMultilevel"/>
    <w:tmpl w:val="4FD87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411845"/>
    <w:multiLevelType w:val="hybridMultilevel"/>
    <w:tmpl w:val="7D12A9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C310598"/>
    <w:multiLevelType w:val="hybridMultilevel"/>
    <w:tmpl w:val="F132A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D38B2"/>
    <w:multiLevelType w:val="hybridMultilevel"/>
    <w:tmpl w:val="ED3EFCEE"/>
    <w:lvl w:ilvl="0" w:tplc="76D69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C8740A8"/>
    <w:multiLevelType w:val="hybridMultilevel"/>
    <w:tmpl w:val="3A9E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0164D2B"/>
    <w:multiLevelType w:val="hybridMultilevel"/>
    <w:tmpl w:val="6EE0E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9">
    <w:nsid w:val="74D43C6E"/>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0"/>
  </w:num>
  <w:num w:numId="5">
    <w:abstractNumId w:val="7"/>
  </w:num>
  <w:num w:numId="6">
    <w:abstractNumId w:val="1"/>
  </w:num>
  <w:num w:numId="7">
    <w:abstractNumId w:val="2"/>
  </w:num>
  <w:num w:numId="8">
    <w:abstractNumId w:val="20"/>
  </w:num>
  <w:num w:numId="9">
    <w:abstractNumId w:val="8"/>
  </w:num>
  <w:num w:numId="10">
    <w:abstractNumId w:val="14"/>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num>
  <w:num w:numId="16">
    <w:abstractNumId w:val="4"/>
  </w:num>
  <w:num w:numId="17">
    <w:abstractNumId w:val="6"/>
  </w:num>
  <w:num w:numId="18">
    <w:abstractNumId w:val="12"/>
  </w:num>
  <w:num w:numId="19">
    <w:abstractNumId w:val="13"/>
  </w:num>
  <w:num w:numId="20">
    <w:abstractNumId w:val="11"/>
  </w:num>
  <w:num w:numId="21">
    <w:abstractNumId w:val="17"/>
  </w:num>
  <w:num w:numId="22">
    <w:abstractNumId w:val="16"/>
  </w:num>
  <w:num w:numId="2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A2"/>
    <w:rsid w:val="00000166"/>
    <w:rsid w:val="000008C2"/>
    <w:rsid w:val="00000A24"/>
    <w:rsid w:val="000017B6"/>
    <w:rsid w:val="00002652"/>
    <w:rsid w:val="00002971"/>
    <w:rsid w:val="00002AD7"/>
    <w:rsid w:val="00003379"/>
    <w:rsid w:val="0000365A"/>
    <w:rsid w:val="00004B62"/>
    <w:rsid w:val="00005112"/>
    <w:rsid w:val="00005143"/>
    <w:rsid w:val="00005BA1"/>
    <w:rsid w:val="00005BBF"/>
    <w:rsid w:val="0000634E"/>
    <w:rsid w:val="000065BE"/>
    <w:rsid w:val="00007AAC"/>
    <w:rsid w:val="000102CA"/>
    <w:rsid w:val="0001104C"/>
    <w:rsid w:val="000110F0"/>
    <w:rsid w:val="00011178"/>
    <w:rsid w:val="0001159B"/>
    <w:rsid w:val="000119FE"/>
    <w:rsid w:val="0001214E"/>
    <w:rsid w:val="00012BDB"/>
    <w:rsid w:val="00012DB2"/>
    <w:rsid w:val="00012E6C"/>
    <w:rsid w:val="0001361A"/>
    <w:rsid w:val="00013641"/>
    <w:rsid w:val="00013D14"/>
    <w:rsid w:val="00014CA8"/>
    <w:rsid w:val="00016A7F"/>
    <w:rsid w:val="000174D5"/>
    <w:rsid w:val="00017ACD"/>
    <w:rsid w:val="0002043D"/>
    <w:rsid w:val="000204BD"/>
    <w:rsid w:val="00020562"/>
    <w:rsid w:val="00020A76"/>
    <w:rsid w:val="00020B87"/>
    <w:rsid w:val="00021A85"/>
    <w:rsid w:val="00024517"/>
    <w:rsid w:val="000254B8"/>
    <w:rsid w:val="00026019"/>
    <w:rsid w:val="00026B8C"/>
    <w:rsid w:val="000331A9"/>
    <w:rsid w:val="000337D3"/>
    <w:rsid w:val="000340A5"/>
    <w:rsid w:val="0003453F"/>
    <w:rsid w:val="00034C2D"/>
    <w:rsid w:val="00035026"/>
    <w:rsid w:val="0003505B"/>
    <w:rsid w:val="000352FF"/>
    <w:rsid w:val="00040AA9"/>
    <w:rsid w:val="000412BA"/>
    <w:rsid w:val="00041BED"/>
    <w:rsid w:val="00042E9B"/>
    <w:rsid w:val="00043012"/>
    <w:rsid w:val="0004490E"/>
    <w:rsid w:val="0004595A"/>
    <w:rsid w:val="00046A9C"/>
    <w:rsid w:val="00050D0B"/>
    <w:rsid w:val="00052BAF"/>
    <w:rsid w:val="00054214"/>
    <w:rsid w:val="000545B0"/>
    <w:rsid w:val="000556E4"/>
    <w:rsid w:val="00056302"/>
    <w:rsid w:val="0005667D"/>
    <w:rsid w:val="00056934"/>
    <w:rsid w:val="00060302"/>
    <w:rsid w:val="00061C12"/>
    <w:rsid w:val="00061CB6"/>
    <w:rsid w:val="00062243"/>
    <w:rsid w:val="00062DAE"/>
    <w:rsid w:val="00062E72"/>
    <w:rsid w:val="00063DF1"/>
    <w:rsid w:val="00063EA6"/>
    <w:rsid w:val="0006463E"/>
    <w:rsid w:val="00064969"/>
    <w:rsid w:val="0006529B"/>
    <w:rsid w:val="0006650E"/>
    <w:rsid w:val="000665BD"/>
    <w:rsid w:val="000674A8"/>
    <w:rsid w:val="00067BB4"/>
    <w:rsid w:val="00071233"/>
    <w:rsid w:val="00071FAC"/>
    <w:rsid w:val="000727B1"/>
    <w:rsid w:val="00072CB2"/>
    <w:rsid w:val="00072E8E"/>
    <w:rsid w:val="00072F8B"/>
    <w:rsid w:val="00074B74"/>
    <w:rsid w:val="00075E8D"/>
    <w:rsid w:val="000767E5"/>
    <w:rsid w:val="0007770A"/>
    <w:rsid w:val="00077B39"/>
    <w:rsid w:val="00077BF0"/>
    <w:rsid w:val="00080148"/>
    <w:rsid w:val="00080796"/>
    <w:rsid w:val="00080A73"/>
    <w:rsid w:val="00080CBB"/>
    <w:rsid w:val="00080E00"/>
    <w:rsid w:val="00081131"/>
    <w:rsid w:val="0008166A"/>
    <w:rsid w:val="00082348"/>
    <w:rsid w:val="00082C24"/>
    <w:rsid w:val="00082EEE"/>
    <w:rsid w:val="00083410"/>
    <w:rsid w:val="0008362C"/>
    <w:rsid w:val="000840A2"/>
    <w:rsid w:val="00090DE7"/>
    <w:rsid w:val="000912A5"/>
    <w:rsid w:val="00091AD4"/>
    <w:rsid w:val="00091D44"/>
    <w:rsid w:val="000927AA"/>
    <w:rsid w:val="00092DB3"/>
    <w:rsid w:val="00093302"/>
    <w:rsid w:val="000940D4"/>
    <w:rsid w:val="000956E4"/>
    <w:rsid w:val="00097DDA"/>
    <w:rsid w:val="000A003D"/>
    <w:rsid w:val="000A04D9"/>
    <w:rsid w:val="000A0712"/>
    <w:rsid w:val="000A1173"/>
    <w:rsid w:val="000A1CD9"/>
    <w:rsid w:val="000A204D"/>
    <w:rsid w:val="000A2512"/>
    <w:rsid w:val="000A39DC"/>
    <w:rsid w:val="000A4096"/>
    <w:rsid w:val="000A5319"/>
    <w:rsid w:val="000A66A2"/>
    <w:rsid w:val="000A6857"/>
    <w:rsid w:val="000A6C91"/>
    <w:rsid w:val="000A6EDA"/>
    <w:rsid w:val="000B0333"/>
    <w:rsid w:val="000B09F9"/>
    <w:rsid w:val="000B0AAA"/>
    <w:rsid w:val="000B13A1"/>
    <w:rsid w:val="000B15B5"/>
    <w:rsid w:val="000B1EEB"/>
    <w:rsid w:val="000B2076"/>
    <w:rsid w:val="000B2E80"/>
    <w:rsid w:val="000B4B11"/>
    <w:rsid w:val="000B4BC8"/>
    <w:rsid w:val="000B503E"/>
    <w:rsid w:val="000B5B5B"/>
    <w:rsid w:val="000B6CE6"/>
    <w:rsid w:val="000B6CF1"/>
    <w:rsid w:val="000B6D04"/>
    <w:rsid w:val="000B78FA"/>
    <w:rsid w:val="000C00FF"/>
    <w:rsid w:val="000C0C81"/>
    <w:rsid w:val="000C2C0C"/>
    <w:rsid w:val="000C2DE0"/>
    <w:rsid w:val="000C472B"/>
    <w:rsid w:val="000C5B8B"/>
    <w:rsid w:val="000C634E"/>
    <w:rsid w:val="000C6384"/>
    <w:rsid w:val="000C65BA"/>
    <w:rsid w:val="000C69D3"/>
    <w:rsid w:val="000C6B30"/>
    <w:rsid w:val="000C6BEB"/>
    <w:rsid w:val="000C785E"/>
    <w:rsid w:val="000D0770"/>
    <w:rsid w:val="000D1C10"/>
    <w:rsid w:val="000D2B07"/>
    <w:rsid w:val="000D2B10"/>
    <w:rsid w:val="000D5387"/>
    <w:rsid w:val="000D6790"/>
    <w:rsid w:val="000D6A6C"/>
    <w:rsid w:val="000D7580"/>
    <w:rsid w:val="000E00FC"/>
    <w:rsid w:val="000E042B"/>
    <w:rsid w:val="000E08A8"/>
    <w:rsid w:val="000E0E94"/>
    <w:rsid w:val="000E15DF"/>
    <w:rsid w:val="000E2289"/>
    <w:rsid w:val="000E22DA"/>
    <w:rsid w:val="000E2BF9"/>
    <w:rsid w:val="000E381F"/>
    <w:rsid w:val="000E4D88"/>
    <w:rsid w:val="000E546D"/>
    <w:rsid w:val="000E6CDF"/>
    <w:rsid w:val="000E716C"/>
    <w:rsid w:val="000E74EF"/>
    <w:rsid w:val="000E77D4"/>
    <w:rsid w:val="000F12DA"/>
    <w:rsid w:val="000F1797"/>
    <w:rsid w:val="000F17A5"/>
    <w:rsid w:val="000F2A98"/>
    <w:rsid w:val="000F2D49"/>
    <w:rsid w:val="000F419C"/>
    <w:rsid w:val="000F44F2"/>
    <w:rsid w:val="000F6F60"/>
    <w:rsid w:val="000F72A0"/>
    <w:rsid w:val="000F7341"/>
    <w:rsid w:val="000F74C6"/>
    <w:rsid w:val="000F7647"/>
    <w:rsid w:val="000F79B7"/>
    <w:rsid w:val="001000AE"/>
    <w:rsid w:val="00100444"/>
    <w:rsid w:val="00101978"/>
    <w:rsid w:val="00102FF2"/>
    <w:rsid w:val="001042D7"/>
    <w:rsid w:val="001045F8"/>
    <w:rsid w:val="001050C4"/>
    <w:rsid w:val="0010523D"/>
    <w:rsid w:val="0010568A"/>
    <w:rsid w:val="001059EB"/>
    <w:rsid w:val="001064F1"/>
    <w:rsid w:val="00106A13"/>
    <w:rsid w:val="00111281"/>
    <w:rsid w:val="0011225D"/>
    <w:rsid w:val="00112BBE"/>
    <w:rsid w:val="00113A98"/>
    <w:rsid w:val="00114B14"/>
    <w:rsid w:val="00115256"/>
    <w:rsid w:val="00115AA7"/>
    <w:rsid w:val="00115B7F"/>
    <w:rsid w:val="001163C1"/>
    <w:rsid w:val="00116F9D"/>
    <w:rsid w:val="00121647"/>
    <w:rsid w:val="00122060"/>
    <w:rsid w:val="00122818"/>
    <w:rsid w:val="00122F38"/>
    <w:rsid w:val="001235F7"/>
    <w:rsid w:val="0012434F"/>
    <w:rsid w:val="00124B1D"/>
    <w:rsid w:val="00124E6A"/>
    <w:rsid w:val="00125540"/>
    <w:rsid w:val="001266F2"/>
    <w:rsid w:val="00126FF3"/>
    <w:rsid w:val="001273BF"/>
    <w:rsid w:val="00131D99"/>
    <w:rsid w:val="001336DB"/>
    <w:rsid w:val="00135637"/>
    <w:rsid w:val="00135733"/>
    <w:rsid w:val="0013607B"/>
    <w:rsid w:val="001364C8"/>
    <w:rsid w:val="0013653C"/>
    <w:rsid w:val="00137D20"/>
    <w:rsid w:val="0014089D"/>
    <w:rsid w:val="001411A8"/>
    <w:rsid w:val="00141348"/>
    <w:rsid w:val="001417BB"/>
    <w:rsid w:val="0014285E"/>
    <w:rsid w:val="001439B4"/>
    <w:rsid w:val="001441B9"/>
    <w:rsid w:val="00145CB3"/>
    <w:rsid w:val="00145DBE"/>
    <w:rsid w:val="00146909"/>
    <w:rsid w:val="00146A6D"/>
    <w:rsid w:val="00146FDB"/>
    <w:rsid w:val="00147069"/>
    <w:rsid w:val="001479F4"/>
    <w:rsid w:val="00150632"/>
    <w:rsid w:val="00150A77"/>
    <w:rsid w:val="00150FB0"/>
    <w:rsid w:val="0015227C"/>
    <w:rsid w:val="0015343C"/>
    <w:rsid w:val="001534AD"/>
    <w:rsid w:val="00154562"/>
    <w:rsid w:val="00155B42"/>
    <w:rsid w:val="00155FC3"/>
    <w:rsid w:val="0015640F"/>
    <w:rsid w:val="001566C3"/>
    <w:rsid w:val="001604B7"/>
    <w:rsid w:val="0016150C"/>
    <w:rsid w:val="0016196C"/>
    <w:rsid w:val="0016265A"/>
    <w:rsid w:val="00163119"/>
    <w:rsid w:val="00163185"/>
    <w:rsid w:val="0016374B"/>
    <w:rsid w:val="00163875"/>
    <w:rsid w:val="0016437E"/>
    <w:rsid w:val="00166E18"/>
    <w:rsid w:val="00167DCA"/>
    <w:rsid w:val="0017137D"/>
    <w:rsid w:val="001720CF"/>
    <w:rsid w:val="001728A2"/>
    <w:rsid w:val="001738EF"/>
    <w:rsid w:val="001749D4"/>
    <w:rsid w:val="00175B6D"/>
    <w:rsid w:val="00175C25"/>
    <w:rsid w:val="00175DF8"/>
    <w:rsid w:val="001772F2"/>
    <w:rsid w:val="00180019"/>
    <w:rsid w:val="001800C2"/>
    <w:rsid w:val="00180288"/>
    <w:rsid w:val="00180430"/>
    <w:rsid w:val="001819E5"/>
    <w:rsid w:val="00181A8D"/>
    <w:rsid w:val="00182C0E"/>
    <w:rsid w:val="00182DD5"/>
    <w:rsid w:val="001838C3"/>
    <w:rsid w:val="00186BCA"/>
    <w:rsid w:val="00186E15"/>
    <w:rsid w:val="00187595"/>
    <w:rsid w:val="0018790A"/>
    <w:rsid w:val="00187971"/>
    <w:rsid w:val="00190350"/>
    <w:rsid w:val="0019167C"/>
    <w:rsid w:val="00192420"/>
    <w:rsid w:val="00192880"/>
    <w:rsid w:val="00192F45"/>
    <w:rsid w:val="00193FF0"/>
    <w:rsid w:val="00194ABE"/>
    <w:rsid w:val="00195866"/>
    <w:rsid w:val="00195F8A"/>
    <w:rsid w:val="0019606A"/>
    <w:rsid w:val="00196215"/>
    <w:rsid w:val="00196E7A"/>
    <w:rsid w:val="0019722E"/>
    <w:rsid w:val="0019722F"/>
    <w:rsid w:val="001975A3"/>
    <w:rsid w:val="001979E6"/>
    <w:rsid w:val="001A0060"/>
    <w:rsid w:val="001A1EFE"/>
    <w:rsid w:val="001A2717"/>
    <w:rsid w:val="001A3042"/>
    <w:rsid w:val="001A3EA9"/>
    <w:rsid w:val="001A4EF9"/>
    <w:rsid w:val="001A54B2"/>
    <w:rsid w:val="001A6B95"/>
    <w:rsid w:val="001A7A7F"/>
    <w:rsid w:val="001A7C76"/>
    <w:rsid w:val="001B007B"/>
    <w:rsid w:val="001B2073"/>
    <w:rsid w:val="001B2EE0"/>
    <w:rsid w:val="001B31A7"/>
    <w:rsid w:val="001B3BC0"/>
    <w:rsid w:val="001B49BF"/>
    <w:rsid w:val="001B5113"/>
    <w:rsid w:val="001B511A"/>
    <w:rsid w:val="001B59FD"/>
    <w:rsid w:val="001B5FF6"/>
    <w:rsid w:val="001B6B15"/>
    <w:rsid w:val="001B7767"/>
    <w:rsid w:val="001B7E6F"/>
    <w:rsid w:val="001C123D"/>
    <w:rsid w:val="001C1C28"/>
    <w:rsid w:val="001C2566"/>
    <w:rsid w:val="001C3A28"/>
    <w:rsid w:val="001C4948"/>
    <w:rsid w:val="001C4982"/>
    <w:rsid w:val="001C4C8E"/>
    <w:rsid w:val="001C4EC6"/>
    <w:rsid w:val="001C5B7A"/>
    <w:rsid w:val="001C6C60"/>
    <w:rsid w:val="001C7381"/>
    <w:rsid w:val="001D0243"/>
    <w:rsid w:val="001D065E"/>
    <w:rsid w:val="001D12B4"/>
    <w:rsid w:val="001D1E5F"/>
    <w:rsid w:val="001D24E0"/>
    <w:rsid w:val="001D2914"/>
    <w:rsid w:val="001D2A70"/>
    <w:rsid w:val="001D3327"/>
    <w:rsid w:val="001D33F2"/>
    <w:rsid w:val="001D4900"/>
    <w:rsid w:val="001D49E1"/>
    <w:rsid w:val="001D7300"/>
    <w:rsid w:val="001D7872"/>
    <w:rsid w:val="001E05DF"/>
    <w:rsid w:val="001E1BE9"/>
    <w:rsid w:val="001E1CB3"/>
    <w:rsid w:val="001E25F1"/>
    <w:rsid w:val="001E31A8"/>
    <w:rsid w:val="001E4CA5"/>
    <w:rsid w:val="001E4FC7"/>
    <w:rsid w:val="001E50BC"/>
    <w:rsid w:val="001E58AF"/>
    <w:rsid w:val="001E5A70"/>
    <w:rsid w:val="001E6C3B"/>
    <w:rsid w:val="001E756A"/>
    <w:rsid w:val="001E76A0"/>
    <w:rsid w:val="001E79D9"/>
    <w:rsid w:val="001E7A8F"/>
    <w:rsid w:val="001F1404"/>
    <w:rsid w:val="001F1C10"/>
    <w:rsid w:val="001F1EBB"/>
    <w:rsid w:val="001F2B6F"/>
    <w:rsid w:val="001F3094"/>
    <w:rsid w:val="001F326D"/>
    <w:rsid w:val="001F3FD7"/>
    <w:rsid w:val="001F4B48"/>
    <w:rsid w:val="001F6721"/>
    <w:rsid w:val="001F7CB1"/>
    <w:rsid w:val="0020025A"/>
    <w:rsid w:val="00200A51"/>
    <w:rsid w:val="00200F8E"/>
    <w:rsid w:val="002015DB"/>
    <w:rsid w:val="00201E62"/>
    <w:rsid w:val="002020EC"/>
    <w:rsid w:val="00203925"/>
    <w:rsid w:val="00203F78"/>
    <w:rsid w:val="00204D21"/>
    <w:rsid w:val="00205485"/>
    <w:rsid w:val="00205717"/>
    <w:rsid w:val="00206284"/>
    <w:rsid w:val="00206505"/>
    <w:rsid w:val="0020781E"/>
    <w:rsid w:val="00207827"/>
    <w:rsid w:val="00207EF6"/>
    <w:rsid w:val="002107EE"/>
    <w:rsid w:val="00211037"/>
    <w:rsid w:val="00211508"/>
    <w:rsid w:val="00211ED8"/>
    <w:rsid w:val="002129B5"/>
    <w:rsid w:val="00214B4E"/>
    <w:rsid w:val="002151B4"/>
    <w:rsid w:val="00215B81"/>
    <w:rsid w:val="00215D0E"/>
    <w:rsid w:val="002164E0"/>
    <w:rsid w:val="002165BD"/>
    <w:rsid w:val="00216680"/>
    <w:rsid w:val="00217211"/>
    <w:rsid w:val="0022073E"/>
    <w:rsid w:val="00220B39"/>
    <w:rsid w:val="00220CB2"/>
    <w:rsid w:val="00220F3A"/>
    <w:rsid w:val="00221280"/>
    <w:rsid w:val="0022168C"/>
    <w:rsid w:val="002218F0"/>
    <w:rsid w:val="00222005"/>
    <w:rsid w:val="002231E1"/>
    <w:rsid w:val="00224C36"/>
    <w:rsid w:val="002251DE"/>
    <w:rsid w:val="00225492"/>
    <w:rsid w:val="00226B9F"/>
    <w:rsid w:val="00226BB0"/>
    <w:rsid w:val="002273AF"/>
    <w:rsid w:val="00227DFB"/>
    <w:rsid w:val="00227DFE"/>
    <w:rsid w:val="00227F86"/>
    <w:rsid w:val="00230158"/>
    <w:rsid w:val="002302DE"/>
    <w:rsid w:val="00232A23"/>
    <w:rsid w:val="00232A52"/>
    <w:rsid w:val="002342BD"/>
    <w:rsid w:val="002343EC"/>
    <w:rsid w:val="00234CFE"/>
    <w:rsid w:val="002352A3"/>
    <w:rsid w:val="002366A1"/>
    <w:rsid w:val="00236906"/>
    <w:rsid w:val="00236CF7"/>
    <w:rsid w:val="00240BB4"/>
    <w:rsid w:val="00241785"/>
    <w:rsid w:val="00241A7E"/>
    <w:rsid w:val="00242B10"/>
    <w:rsid w:val="00242C39"/>
    <w:rsid w:val="00242F62"/>
    <w:rsid w:val="00244436"/>
    <w:rsid w:val="00245E5E"/>
    <w:rsid w:val="00246D94"/>
    <w:rsid w:val="0024708F"/>
    <w:rsid w:val="002470B0"/>
    <w:rsid w:val="00250B7B"/>
    <w:rsid w:val="00250DEE"/>
    <w:rsid w:val="0025145F"/>
    <w:rsid w:val="00251646"/>
    <w:rsid w:val="002518AB"/>
    <w:rsid w:val="002520CD"/>
    <w:rsid w:val="00252209"/>
    <w:rsid w:val="00252AD1"/>
    <w:rsid w:val="00252F2E"/>
    <w:rsid w:val="00252FCA"/>
    <w:rsid w:val="00253096"/>
    <w:rsid w:val="002533F7"/>
    <w:rsid w:val="00253F02"/>
    <w:rsid w:val="00254118"/>
    <w:rsid w:val="002543BF"/>
    <w:rsid w:val="00255338"/>
    <w:rsid w:val="002561E9"/>
    <w:rsid w:val="00256C7C"/>
    <w:rsid w:val="00260BA7"/>
    <w:rsid w:val="0026307A"/>
    <w:rsid w:val="00263BCB"/>
    <w:rsid w:val="002640B1"/>
    <w:rsid w:val="0026424A"/>
    <w:rsid w:val="002642BF"/>
    <w:rsid w:val="00264C81"/>
    <w:rsid w:val="00265446"/>
    <w:rsid w:val="00265933"/>
    <w:rsid w:val="0026660B"/>
    <w:rsid w:val="0026735E"/>
    <w:rsid w:val="002673C5"/>
    <w:rsid w:val="00267AF9"/>
    <w:rsid w:val="0027121D"/>
    <w:rsid w:val="0027160A"/>
    <w:rsid w:val="002723B2"/>
    <w:rsid w:val="002732AD"/>
    <w:rsid w:val="00273FF7"/>
    <w:rsid w:val="002746C5"/>
    <w:rsid w:val="002746E2"/>
    <w:rsid w:val="0027533D"/>
    <w:rsid w:val="00275FC6"/>
    <w:rsid w:val="002772ED"/>
    <w:rsid w:val="002773E2"/>
    <w:rsid w:val="00277C7D"/>
    <w:rsid w:val="002809DB"/>
    <w:rsid w:val="00281841"/>
    <w:rsid w:val="0028198E"/>
    <w:rsid w:val="00281FCC"/>
    <w:rsid w:val="00282158"/>
    <w:rsid w:val="0028373B"/>
    <w:rsid w:val="00286011"/>
    <w:rsid w:val="002864C0"/>
    <w:rsid w:val="00286927"/>
    <w:rsid w:val="00287B02"/>
    <w:rsid w:val="00287D39"/>
    <w:rsid w:val="00290866"/>
    <w:rsid w:val="00290A1E"/>
    <w:rsid w:val="00290F62"/>
    <w:rsid w:val="002912B2"/>
    <w:rsid w:val="002914B5"/>
    <w:rsid w:val="002917C4"/>
    <w:rsid w:val="002917EF"/>
    <w:rsid w:val="00292137"/>
    <w:rsid w:val="002927B2"/>
    <w:rsid w:val="00295285"/>
    <w:rsid w:val="00295733"/>
    <w:rsid w:val="00295E86"/>
    <w:rsid w:val="00296C04"/>
    <w:rsid w:val="002A0DEA"/>
    <w:rsid w:val="002A0EB0"/>
    <w:rsid w:val="002A13AC"/>
    <w:rsid w:val="002A244F"/>
    <w:rsid w:val="002A2B9C"/>
    <w:rsid w:val="002A3B60"/>
    <w:rsid w:val="002A4488"/>
    <w:rsid w:val="002A4762"/>
    <w:rsid w:val="002A58E0"/>
    <w:rsid w:val="002A58F7"/>
    <w:rsid w:val="002A622C"/>
    <w:rsid w:val="002A78B5"/>
    <w:rsid w:val="002B078D"/>
    <w:rsid w:val="002B0822"/>
    <w:rsid w:val="002B0CD2"/>
    <w:rsid w:val="002B305E"/>
    <w:rsid w:val="002B35CF"/>
    <w:rsid w:val="002B4C24"/>
    <w:rsid w:val="002B581C"/>
    <w:rsid w:val="002B5A44"/>
    <w:rsid w:val="002B63DD"/>
    <w:rsid w:val="002B69BD"/>
    <w:rsid w:val="002B6D11"/>
    <w:rsid w:val="002B6D45"/>
    <w:rsid w:val="002B7EEF"/>
    <w:rsid w:val="002B7F42"/>
    <w:rsid w:val="002C05A9"/>
    <w:rsid w:val="002C11BF"/>
    <w:rsid w:val="002C326D"/>
    <w:rsid w:val="002C5E34"/>
    <w:rsid w:val="002C5FF5"/>
    <w:rsid w:val="002C6A1C"/>
    <w:rsid w:val="002C6C28"/>
    <w:rsid w:val="002C6F14"/>
    <w:rsid w:val="002C77AC"/>
    <w:rsid w:val="002C780F"/>
    <w:rsid w:val="002D004F"/>
    <w:rsid w:val="002D01C0"/>
    <w:rsid w:val="002D048E"/>
    <w:rsid w:val="002D073F"/>
    <w:rsid w:val="002D07E1"/>
    <w:rsid w:val="002D09F5"/>
    <w:rsid w:val="002D0D0E"/>
    <w:rsid w:val="002D175D"/>
    <w:rsid w:val="002D1921"/>
    <w:rsid w:val="002D19B9"/>
    <w:rsid w:val="002D1F9D"/>
    <w:rsid w:val="002D275F"/>
    <w:rsid w:val="002D2D06"/>
    <w:rsid w:val="002D30AE"/>
    <w:rsid w:val="002D337D"/>
    <w:rsid w:val="002D4E67"/>
    <w:rsid w:val="002D539F"/>
    <w:rsid w:val="002D567A"/>
    <w:rsid w:val="002D582A"/>
    <w:rsid w:val="002D70DA"/>
    <w:rsid w:val="002E2741"/>
    <w:rsid w:val="002E350B"/>
    <w:rsid w:val="002E3F8E"/>
    <w:rsid w:val="002E5A45"/>
    <w:rsid w:val="002E627B"/>
    <w:rsid w:val="002E6460"/>
    <w:rsid w:val="002E7C39"/>
    <w:rsid w:val="002F0F48"/>
    <w:rsid w:val="002F1704"/>
    <w:rsid w:val="002F3A90"/>
    <w:rsid w:val="002F4627"/>
    <w:rsid w:val="002F6A33"/>
    <w:rsid w:val="002F6FB1"/>
    <w:rsid w:val="002F7886"/>
    <w:rsid w:val="002F7E0B"/>
    <w:rsid w:val="00300909"/>
    <w:rsid w:val="00302006"/>
    <w:rsid w:val="00302481"/>
    <w:rsid w:val="00302600"/>
    <w:rsid w:val="00302E16"/>
    <w:rsid w:val="00302E24"/>
    <w:rsid w:val="003033A3"/>
    <w:rsid w:val="003035C8"/>
    <w:rsid w:val="003040EB"/>
    <w:rsid w:val="00304BC2"/>
    <w:rsid w:val="003054EB"/>
    <w:rsid w:val="00305F95"/>
    <w:rsid w:val="0030750A"/>
    <w:rsid w:val="00307A9B"/>
    <w:rsid w:val="00307CCF"/>
    <w:rsid w:val="00307FA8"/>
    <w:rsid w:val="003162BC"/>
    <w:rsid w:val="0031662D"/>
    <w:rsid w:val="00316A2A"/>
    <w:rsid w:val="0031781D"/>
    <w:rsid w:val="003201EB"/>
    <w:rsid w:val="00320566"/>
    <w:rsid w:val="00320778"/>
    <w:rsid w:val="00321B17"/>
    <w:rsid w:val="00322B3C"/>
    <w:rsid w:val="00322E1D"/>
    <w:rsid w:val="00323879"/>
    <w:rsid w:val="00324554"/>
    <w:rsid w:val="00324BC4"/>
    <w:rsid w:val="00326C76"/>
    <w:rsid w:val="00326F1D"/>
    <w:rsid w:val="00327755"/>
    <w:rsid w:val="0033017E"/>
    <w:rsid w:val="0033096D"/>
    <w:rsid w:val="00331133"/>
    <w:rsid w:val="00331243"/>
    <w:rsid w:val="0033302B"/>
    <w:rsid w:val="00335483"/>
    <w:rsid w:val="00335F9C"/>
    <w:rsid w:val="00336528"/>
    <w:rsid w:val="00336A72"/>
    <w:rsid w:val="00337C3F"/>
    <w:rsid w:val="00337FDA"/>
    <w:rsid w:val="00340812"/>
    <w:rsid w:val="00340D63"/>
    <w:rsid w:val="00342D65"/>
    <w:rsid w:val="00342EAC"/>
    <w:rsid w:val="00343C0E"/>
    <w:rsid w:val="00344433"/>
    <w:rsid w:val="003448EC"/>
    <w:rsid w:val="00345E42"/>
    <w:rsid w:val="00346055"/>
    <w:rsid w:val="00346605"/>
    <w:rsid w:val="00346748"/>
    <w:rsid w:val="00346AA5"/>
    <w:rsid w:val="003474DB"/>
    <w:rsid w:val="003511F5"/>
    <w:rsid w:val="003515C3"/>
    <w:rsid w:val="00351CE0"/>
    <w:rsid w:val="00352675"/>
    <w:rsid w:val="00353672"/>
    <w:rsid w:val="00353E1D"/>
    <w:rsid w:val="003556AE"/>
    <w:rsid w:val="003560BA"/>
    <w:rsid w:val="00357944"/>
    <w:rsid w:val="00357BCC"/>
    <w:rsid w:val="0036144D"/>
    <w:rsid w:val="00361475"/>
    <w:rsid w:val="003617C9"/>
    <w:rsid w:val="00362B5E"/>
    <w:rsid w:val="00363026"/>
    <w:rsid w:val="003638B7"/>
    <w:rsid w:val="00364153"/>
    <w:rsid w:val="003645A3"/>
    <w:rsid w:val="00365269"/>
    <w:rsid w:val="003652FF"/>
    <w:rsid w:val="003667D6"/>
    <w:rsid w:val="00367360"/>
    <w:rsid w:val="00367978"/>
    <w:rsid w:val="00367BC4"/>
    <w:rsid w:val="003708EA"/>
    <w:rsid w:val="00370CEA"/>
    <w:rsid w:val="00370EFF"/>
    <w:rsid w:val="00371987"/>
    <w:rsid w:val="0037217E"/>
    <w:rsid w:val="003723F0"/>
    <w:rsid w:val="00372E51"/>
    <w:rsid w:val="0037305C"/>
    <w:rsid w:val="00375B3F"/>
    <w:rsid w:val="0037658D"/>
    <w:rsid w:val="0037681C"/>
    <w:rsid w:val="00376EDA"/>
    <w:rsid w:val="0037720F"/>
    <w:rsid w:val="0037725B"/>
    <w:rsid w:val="003777A2"/>
    <w:rsid w:val="003779D7"/>
    <w:rsid w:val="00381DF8"/>
    <w:rsid w:val="00382EB4"/>
    <w:rsid w:val="0038439D"/>
    <w:rsid w:val="0038506C"/>
    <w:rsid w:val="00385B39"/>
    <w:rsid w:val="00386AC3"/>
    <w:rsid w:val="0039020E"/>
    <w:rsid w:val="00391374"/>
    <w:rsid w:val="00392134"/>
    <w:rsid w:val="003942F1"/>
    <w:rsid w:val="00394347"/>
    <w:rsid w:val="003949C9"/>
    <w:rsid w:val="0039655C"/>
    <w:rsid w:val="003977E2"/>
    <w:rsid w:val="003A00D3"/>
    <w:rsid w:val="003A0374"/>
    <w:rsid w:val="003A0AB6"/>
    <w:rsid w:val="003A2688"/>
    <w:rsid w:val="003A2790"/>
    <w:rsid w:val="003A4D24"/>
    <w:rsid w:val="003A517C"/>
    <w:rsid w:val="003A59A7"/>
    <w:rsid w:val="003A78D7"/>
    <w:rsid w:val="003A7B97"/>
    <w:rsid w:val="003A7E4D"/>
    <w:rsid w:val="003B1DD2"/>
    <w:rsid w:val="003B3FFD"/>
    <w:rsid w:val="003B40C6"/>
    <w:rsid w:val="003B4352"/>
    <w:rsid w:val="003B4E51"/>
    <w:rsid w:val="003B5158"/>
    <w:rsid w:val="003B57E5"/>
    <w:rsid w:val="003B5C50"/>
    <w:rsid w:val="003B5D25"/>
    <w:rsid w:val="003B6069"/>
    <w:rsid w:val="003B6085"/>
    <w:rsid w:val="003B6273"/>
    <w:rsid w:val="003B73FB"/>
    <w:rsid w:val="003B7496"/>
    <w:rsid w:val="003B75E0"/>
    <w:rsid w:val="003B7CB9"/>
    <w:rsid w:val="003C0BDA"/>
    <w:rsid w:val="003C1765"/>
    <w:rsid w:val="003C2087"/>
    <w:rsid w:val="003C2199"/>
    <w:rsid w:val="003C22D2"/>
    <w:rsid w:val="003C24B5"/>
    <w:rsid w:val="003C4CBC"/>
    <w:rsid w:val="003C5A2A"/>
    <w:rsid w:val="003C5B1B"/>
    <w:rsid w:val="003C5F89"/>
    <w:rsid w:val="003C6DD2"/>
    <w:rsid w:val="003D1533"/>
    <w:rsid w:val="003D1C03"/>
    <w:rsid w:val="003D1DB6"/>
    <w:rsid w:val="003D26C8"/>
    <w:rsid w:val="003D549A"/>
    <w:rsid w:val="003D60CA"/>
    <w:rsid w:val="003D625E"/>
    <w:rsid w:val="003D73D3"/>
    <w:rsid w:val="003D7CFB"/>
    <w:rsid w:val="003E1B61"/>
    <w:rsid w:val="003E1C1A"/>
    <w:rsid w:val="003E1E70"/>
    <w:rsid w:val="003E212F"/>
    <w:rsid w:val="003E26AC"/>
    <w:rsid w:val="003E36D8"/>
    <w:rsid w:val="003E3745"/>
    <w:rsid w:val="003E3E0F"/>
    <w:rsid w:val="003E3F5F"/>
    <w:rsid w:val="003E454E"/>
    <w:rsid w:val="003E590B"/>
    <w:rsid w:val="003E5C1A"/>
    <w:rsid w:val="003E6265"/>
    <w:rsid w:val="003E66DA"/>
    <w:rsid w:val="003E68F1"/>
    <w:rsid w:val="003E7073"/>
    <w:rsid w:val="003E7A1F"/>
    <w:rsid w:val="003F0877"/>
    <w:rsid w:val="003F0D0E"/>
    <w:rsid w:val="003F1AFF"/>
    <w:rsid w:val="003F20E4"/>
    <w:rsid w:val="003F4571"/>
    <w:rsid w:val="003F4E07"/>
    <w:rsid w:val="003F68D8"/>
    <w:rsid w:val="004006C7"/>
    <w:rsid w:val="00401ABA"/>
    <w:rsid w:val="004023E8"/>
    <w:rsid w:val="00402F42"/>
    <w:rsid w:val="00403D2A"/>
    <w:rsid w:val="004059EA"/>
    <w:rsid w:val="004062B0"/>
    <w:rsid w:val="00406B69"/>
    <w:rsid w:val="00406E8D"/>
    <w:rsid w:val="00410514"/>
    <w:rsid w:val="004113F9"/>
    <w:rsid w:val="00411C56"/>
    <w:rsid w:val="00411CAA"/>
    <w:rsid w:val="0041449D"/>
    <w:rsid w:val="004144DF"/>
    <w:rsid w:val="0041461D"/>
    <w:rsid w:val="00414750"/>
    <w:rsid w:val="00414C14"/>
    <w:rsid w:val="00415091"/>
    <w:rsid w:val="004151FB"/>
    <w:rsid w:val="00415E93"/>
    <w:rsid w:val="004178FC"/>
    <w:rsid w:val="004205E8"/>
    <w:rsid w:val="00421629"/>
    <w:rsid w:val="00421938"/>
    <w:rsid w:val="004240FB"/>
    <w:rsid w:val="0042445F"/>
    <w:rsid w:val="00424A9E"/>
    <w:rsid w:val="00424C1D"/>
    <w:rsid w:val="004256A5"/>
    <w:rsid w:val="00426A69"/>
    <w:rsid w:val="00426D9C"/>
    <w:rsid w:val="00426F3B"/>
    <w:rsid w:val="00431A7F"/>
    <w:rsid w:val="00431B24"/>
    <w:rsid w:val="00431F2D"/>
    <w:rsid w:val="0043218E"/>
    <w:rsid w:val="004328DE"/>
    <w:rsid w:val="0043296A"/>
    <w:rsid w:val="00432E48"/>
    <w:rsid w:val="0043333B"/>
    <w:rsid w:val="00434092"/>
    <w:rsid w:val="00435188"/>
    <w:rsid w:val="004355B4"/>
    <w:rsid w:val="004358DB"/>
    <w:rsid w:val="00436CA6"/>
    <w:rsid w:val="0044029F"/>
    <w:rsid w:val="0044129E"/>
    <w:rsid w:val="00441C6F"/>
    <w:rsid w:val="0044221B"/>
    <w:rsid w:val="004440E5"/>
    <w:rsid w:val="00444534"/>
    <w:rsid w:val="004456AB"/>
    <w:rsid w:val="00446413"/>
    <w:rsid w:val="004469F9"/>
    <w:rsid w:val="0045040C"/>
    <w:rsid w:val="004507B9"/>
    <w:rsid w:val="004517F3"/>
    <w:rsid w:val="004518ED"/>
    <w:rsid w:val="00451D48"/>
    <w:rsid w:val="00451ED0"/>
    <w:rsid w:val="0045200F"/>
    <w:rsid w:val="004526A2"/>
    <w:rsid w:val="00453143"/>
    <w:rsid w:val="0045339E"/>
    <w:rsid w:val="0045409E"/>
    <w:rsid w:val="004542EA"/>
    <w:rsid w:val="00454AB9"/>
    <w:rsid w:val="0045688B"/>
    <w:rsid w:val="00456E31"/>
    <w:rsid w:val="004575DB"/>
    <w:rsid w:val="004600B2"/>
    <w:rsid w:val="00462BB9"/>
    <w:rsid w:val="0046346C"/>
    <w:rsid w:val="00463616"/>
    <w:rsid w:val="00463882"/>
    <w:rsid w:val="00464499"/>
    <w:rsid w:val="00465149"/>
    <w:rsid w:val="00466290"/>
    <w:rsid w:val="004666AD"/>
    <w:rsid w:val="004671AB"/>
    <w:rsid w:val="00471C1E"/>
    <w:rsid w:val="00472E7C"/>
    <w:rsid w:val="00473C7B"/>
    <w:rsid w:val="004741D4"/>
    <w:rsid w:val="00476695"/>
    <w:rsid w:val="004767C3"/>
    <w:rsid w:val="00476AFB"/>
    <w:rsid w:val="00477026"/>
    <w:rsid w:val="0047745B"/>
    <w:rsid w:val="00480BB7"/>
    <w:rsid w:val="00480EEE"/>
    <w:rsid w:val="004839AF"/>
    <w:rsid w:val="004843B2"/>
    <w:rsid w:val="00484DCB"/>
    <w:rsid w:val="00484DD3"/>
    <w:rsid w:val="00485520"/>
    <w:rsid w:val="004859FD"/>
    <w:rsid w:val="00486047"/>
    <w:rsid w:val="00487A33"/>
    <w:rsid w:val="00490D60"/>
    <w:rsid w:val="00492DC7"/>
    <w:rsid w:val="00493393"/>
    <w:rsid w:val="00493D28"/>
    <w:rsid w:val="0049432F"/>
    <w:rsid w:val="00494785"/>
    <w:rsid w:val="004948A2"/>
    <w:rsid w:val="00494F9B"/>
    <w:rsid w:val="0049525A"/>
    <w:rsid w:val="00495C2F"/>
    <w:rsid w:val="00495D64"/>
    <w:rsid w:val="004962D8"/>
    <w:rsid w:val="0049650D"/>
    <w:rsid w:val="00497797"/>
    <w:rsid w:val="004A0490"/>
    <w:rsid w:val="004A0C97"/>
    <w:rsid w:val="004A0E1A"/>
    <w:rsid w:val="004A1368"/>
    <w:rsid w:val="004A1BCC"/>
    <w:rsid w:val="004A1C34"/>
    <w:rsid w:val="004A3D23"/>
    <w:rsid w:val="004A4F89"/>
    <w:rsid w:val="004A6232"/>
    <w:rsid w:val="004A62B7"/>
    <w:rsid w:val="004A6342"/>
    <w:rsid w:val="004B147A"/>
    <w:rsid w:val="004B2EEB"/>
    <w:rsid w:val="004B30CC"/>
    <w:rsid w:val="004B310C"/>
    <w:rsid w:val="004B3941"/>
    <w:rsid w:val="004B41B4"/>
    <w:rsid w:val="004B4C99"/>
    <w:rsid w:val="004B59B5"/>
    <w:rsid w:val="004B59FB"/>
    <w:rsid w:val="004B5C83"/>
    <w:rsid w:val="004B6C06"/>
    <w:rsid w:val="004B7D0D"/>
    <w:rsid w:val="004C1719"/>
    <w:rsid w:val="004C1B40"/>
    <w:rsid w:val="004C1BA7"/>
    <w:rsid w:val="004C2FFF"/>
    <w:rsid w:val="004C3370"/>
    <w:rsid w:val="004C339D"/>
    <w:rsid w:val="004C44D1"/>
    <w:rsid w:val="004C4FF6"/>
    <w:rsid w:val="004C60BE"/>
    <w:rsid w:val="004C68EB"/>
    <w:rsid w:val="004C6B99"/>
    <w:rsid w:val="004C6E9E"/>
    <w:rsid w:val="004C713E"/>
    <w:rsid w:val="004D021F"/>
    <w:rsid w:val="004D054E"/>
    <w:rsid w:val="004D05FA"/>
    <w:rsid w:val="004D1AEA"/>
    <w:rsid w:val="004D2269"/>
    <w:rsid w:val="004D2674"/>
    <w:rsid w:val="004D385F"/>
    <w:rsid w:val="004D4D3B"/>
    <w:rsid w:val="004D4E4D"/>
    <w:rsid w:val="004D5C5B"/>
    <w:rsid w:val="004D5CB7"/>
    <w:rsid w:val="004D5E02"/>
    <w:rsid w:val="004D614D"/>
    <w:rsid w:val="004D6155"/>
    <w:rsid w:val="004D6633"/>
    <w:rsid w:val="004D794F"/>
    <w:rsid w:val="004E096E"/>
    <w:rsid w:val="004E09B5"/>
    <w:rsid w:val="004E2C58"/>
    <w:rsid w:val="004E30E7"/>
    <w:rsid w:val="004E3AC7"/>
    <w:rsid w:val="004E3C9D"/>
    <w:rsid w:val="004E417F"/>
    <w:rsid w:val="004E4265"/>
    <w:rsid w:val="004E4CE7"/>
    <w:rsid w:val="004E50FA"/>
    <w:rsid w:val="004E6603"/>
    <w:rsid w:val="004E6838"/>
    <w:rsid w:val="004F192A"/>
    <w:rsid w:val="004F1C06"/>
    <w:rsid w:val="004F29E6"/>
    <w:rsid w:val="004F2F74"/>
    <w:rsid w:val="004F43A7"/>
    <w:rsid w:val="004F4747"/>
    <w:rsid w:val="004F4D35"/>
    <w:rsid w:val="004F5447"/>
    <w:rsid w:val="004F6EA1"/>
    <w:rsid w:val="00500D62"/>
    <w:rsid w:val="00502074"/>
    <w:rsid w:val="005020F5"/>
    <w:rsid w:val="0050221F"/>
    <w:rsid w:val="00502A17"/>
    <w:rsid w:val="00503380"/>
    <w:rsid w:val="00503EA5"/>
    <w:rsid w:val="00504127"/>
    <w:rsid w:val="0050424B"/>
    <w:rsid w:val="00506288"/>
    <w:rsid w:val="00506C1D"/>
    <w:rsid w:val="00507EAD"/>
    <w:rsid w:val="00510147"/>
    <w:rsid w:val="00510EE0"/>
    <w:rsid w:val="00510FC1"/>
    <w:rsid w:val="00510FDC"/>
    <w:rsid w:val="00511219"/>
    <w:rsid w:val="0051122A"/>
    <w:rsid w:val="00511394"/>
    <w:rsid w:val="00511959"/>
    <w:rsid w:val="00511CB7"/>
    <w:rsid w:val="00512645"/>
    <w:rsid w:val="00512DFD"/>
    <w:rsid w:val="00512EA0"/>
    <w:rsid w:val="005151EC"/>
    <w:rsid w:val="00515667"/>
    <w:rsid w:val="00516523"/>
    <w:rsid w:val="00517326"/>
    <w:rsid w:val="005176EC"/>
    <w:rsid w:val="005207C4"/>
    <w:rsid w:val="005212A5"/>
    <w:rsid w:val="00523304"/>
    <w:rsid w:val="00523691"/>
    <w:rsid w:val="00524520"/>
    <w:rsid w:val="00525356"/>
    <w:rsid w:val="0052576B"/>
    <w:rsid w:val="005257C2"/>
    <w:rsid w:val="005265BA"/>
    <w:rsid w:val="00526D69"/>
    <w:rsid w:val="005304C7"/>
    <w:rsid w:val="00530766"/>
    <w:rsid w:val="00534381"/>
    <w:rsid w:val="00534989"/>
    <w:rsid w:val="00534D22"/>
    <w:rsid w:val="00535CCB"/>
    <w:rsid w:val="005366D2"/>
    <w:rsid w:val="00536835"/>
    <w:rsid w:val="0053768A"/>
    <w:rsid w:val="005403F2"/>
    <w:rsid w:val="00540DC3"/>
    <w:rsid w:val="005413CB"/>
    <w:rsid w:val="00545819"/>
    <w:rsid w:val="005458B3"/>
    <w:rsid w:val="00546943"/>
    <w:rsid w:val="00546A5E"/>
    <w:rsid w:val="00547241"/>
    <w:rsid w:val="005501FC"/>
    <w:rsid w:val="005502D4"/>
    <w:rsid w:val="0055148B"/>
    <w:rsid w:val="00551803"/>
    <w:rsid w:val="00552B5D"/>
    <w:rsid w:val="00553895"/>
    <w:rsid w:val="00553B60"/>
    <w:rsid w:val="005540CE"/>
    <w:rsid w:val="0055474B"/>
    <w:rsid w:val="00554986"/>
    <w:rsid w:val="00554AFD"/>
    <w:rsid w:val="005552A3"/>
    <w:rsid w:val="00555829"/>
    <w:rsid w:val="0055682D"/>
    <w:rsid w:val="00556C75"/>
    <w:rsid w:val="005571BF"/>
    <w:rsid w:val="00557684"/>
    <w:rsid w:val="00557E69"/>
    <w:rsid w:val="00560276"/>
    <w:rsid w:val="0056087C"/>
    <w:rsid w:val="0056095D"/>
    <w:rsid w:val="00560A6D"/>
    <w:rsid w:val="0056133C"/>
    <w:rsid w:val="00561524"/>
    <w:rsid w:val="00561C53"/>
    <w:rsid w:val="0056200F"/>
    <w:rsid w:val="00562288"/>
    <w:rsid w:val="00563626"/>
    <w:rsid w:val="00563C54"/>
    <w:rsid w:val="0056516C"/>
    <w:rsid w:val="0056668F"/>
    <w:rsid w:val="00566DBA"/>
    <w:rsid w:val="00567262"/>
    <w:rsid w:val="00567532"/>
    <w:rsid w:val="00570847"/>
    <w:rsid w:val="00573AA9"/>
    <w:rsid w:val="005741E8"/>
    <w:rsid w:val="00574885"/>
    <w:rsid w:val="0057495B"/>
    <w:rsid w:val="00574FA7"/>
    <w:rsid w:val="00575E33"/>
    <w:rsid w:val="00575E9B"/>
    <w:rsid w:val="005762C1"/>
    <w:rsid w:val="00576BE8"/>
    <w:rsid w:val="005772EB"/>
    <w:rsid w:val="00577A8F"/>
    <w:rsid w:val="00577C22"/>
    <w:rsid w:val="00577D97"/>
    <w:rsid w:val="00577F5D"/>
    <w:rsid w:val="00580260"/>
    <w:rsid w:val="00580774"/>
    <w:rsid w:val="00580A3B"/>
    <w:rsid w:val="00580C05"/>
    <w:rsid w:val="00581FFA"/>
    <w:rsid w:val="00582CFB"/>
    <w:rsid w:val="0058361C"/>
    <w:rsid w:val="00583759"/>
    <w:rsid w:val="00584F3B"/>
    <w:rsid w:val="00585030"/>
    <w:rsid w:val="0058548B"/>
    <w:rsid w:val="00585A8E"/>
    <w:rsid w:val="00585D03"/>
    <w:rsid w:val="00586736"/>
    <w:rsid w:val="00586AD6"/>
    <w:rsid w:val="00587117"/>
    <w:rsid w:val="005877F3"/>
    <w:rsid w:val="00590576"/>
    <w:rsid w:val="00591C41"/>
    <w:rsid w:val="00591C96"/>
    <w:rsid w:val="005922F6"/>
    <w:rsid w:val="0059234B"/>
    <w:rsid w:val="005925BD"/>
    <w:rsid w:val="005932ED"/>
    <w:rsid w:val="005932F7"/>
    <w:rsid w:val="00594288"/>
    <w:rsid w:val="00594AEA"/>
    <w:rsid w:val="00594C8E"/>
    <w:rsid w:val="00595156"/>
    <w:rsid w:val="00595CC5"/>
    <w:rsid w:val="00597C28"/>
    <w:rsid w:val="005A0055"/>
    <w:rsid w:val="005A0224"/>
    <w:rsid w:val="005A0B85"/>
    <w:rsid w:val="005A1C51"/>
    <w:rsid w:val="005A359D"/>
    <w:rsid w:val="005A46D1"/>
    <w:rsid w:val="005A4FA0"/>
    <w:rsid w:val="005A5B6C"/>
    <w:rsid w:val="005A5F4B"/>
    <w:rsid w:val="005A68FB"/>
    <w:rsid w:val="005A775E"/>
    <w:rsid w:val="005A7F0F"/>
    <w:rsid w:val="005B101A"/>
    <w:rsid w:val="005B1107"/>
    <w:rsid w:val="005B1AC4"/>
    <w:rsid w:val="005B218B"/>
    <w:rsid w:val="005B3317"/>
    <w:rsid w:val="005B34A6"/>
    <w:rsid w:val="005B3874"/>
    <w:rsid w:val="005B3F34"/>
    <w:rsid w:val="005B4512"/>
    <w:rsid w:val="005B4559"/>
    <w:rsid w:val="005B4B5E"/>
    <w:rsid w:val="005B5FB9"/>
    <w:rsid w:val="005B6BFE"/>
    <w:rsid w:val="005B701D"/>
    <w:rsid w:val="005B7161"/>
    <w:rsid w:val="005B7481"/>
    <w:rsid w:val="005C2A58"/>
    <w:rsid w:val="005C3596"/>
    <w:rsid w:val="005C35ED"/>
    <w:rsid w:val="005C3827"/>
    <w:rsid w:val="005C3B40"/>
    <w:rsid w:val="005C4CB4"/>
    <w:rsid w:val="005C5B60"/>
    <w:rsid w:val="005C6C27"/>
    <w:rsid w:val="005C73AA"/>
    <w:rsid w:val="005C7AF2"/>
    <w:rsid w:val="005C7E12"/>
    <w:rsid w:val="005D0A76"/>
    <w:rsid w:val="005D109B"/>
    <w:rsid w:val="005D1668"/>
    <w:rsid w:val="005D173C"/>
    <w:rsid w:val="005D2A12"/>
    <w:rsid w:val="005D47A8"/>
    <w:rsid w:val="005D523C"/>
    <w:rsid w:val="005D5332"/>
    <w:rsid w:val="005D6754"/>
    <w:rsid w:val="005D74FD"/>
    <w:rsid w:val="005D776E"/>
    <w:rsid w:val="005D78A0"/>
    <w:rsid w:val="005E1616"/>
    <w:rsid w:val="005E2891"/>
    <w:rsid w:val="005E3432"/>
    <w:rsid w:val="005E54BD"/>
    <w:rsid w:val="005E5981"/>
    <w:rsid w:val="005E62A0"/>
    <w:rsid w:val="005E62CF"/>
    <w:rsid w:val="005E633D"/>
    <w:rsid w:val="005E767D"/>
    <w:rsid w:val="005F0873"/>
    <w:rsid w:val="005F1655"/>
    <w:rsid w:val="005F16E5"/>
    <w:rsid w:val="005F1A84"/>
    <w:rsid w:val="005F1B6C"/>
    <w:rsid w:val="005F371E"/>
    <w:rsid w:val="005F428C"/>
    <w:rsid w:val="005F49FE"/>
    <w:rsid w:val="005F6A84"/>
    <w:rsid w:val="005F6E58"/>
    <w:rsid w:val="00600468"/>
    <w:rsid w:val="006010D1"/>
    <w:rsid w:val="00601445"/>
    <w:rsid w:val="00601AE6"/>
    <w:rsid w:val="006021DE"/>
    <w:rsid w:val="006022B0"/>
    <w:rsid w:val="00602A2C"/>
    <w:rsid w:val="00602DCF"/>
    <w:rsid w:val="00603D16"/>
    <w:rsid w:val="00604EC9"/>
    <w:rsid w:val="00605C08"/>
    <w:rsid w:val="00606746"/>
    <w:rsid w:val="00607FF5"/>
    <w:rsid w:val="00610341"/>
    <w:rsid w:val="0061242D"/>
    <w:rsid w:val="0061259E"/>
    <w:rsid w:val="00612BBE"/>
    <w:rsid w:val="00612BED"/>
    <w:rsid w:val="006133CA"/>
    <w:rsid w:val="006136CD"/>
    <w:rsid w:val="00613830"/>
    <w:rsid w:val="006139C6"/>
    <w:rsid w:val="00613A8C"/>
    <w:rsid w:val="00614582"/>
    <w:rsid w:val="006149E7"/>
    <w:rsid w:val="00614C81"/>
    <w:rsid w:val="00616733"/>
    <w:rsid w:val="00616A1C"/>
    <w:rsid w:val="00617048"/>
    <w:rsid w:val="0062320E"/>
    <w:rsid w:val="006233B9"/>
    <w:rsid w:val="00623736"/>
    <w:rsid w:val="006248C4"/>
    <w:rsid w:val="006252D7"/>
    <w:rsid w:val="00625567"/>
    <w:rsid w:val="006257BF"/>
    <w:rsid w:val="00625B1D"/>
    <w:rsid w:val="00626039"/>
    <w:rsid w:val="006271A5"/>
    <w:rsid w:val="00627A77"/>
    <w:rsid w:val="00630259"/>
    <w:rsid w:val="006325F6"/>
    <w:rsid w:val="006326E0"/>
    <w:rsid w:val="00632A64"/>
    <w:rsid w:val="00632D57"/>
    <w:rsid w:val="006335BE"/>
    <w:rsid w:val="006336C1"/>
    <w:rsid w:val="006339C8"/>
    <w:rsid w:val="00633A5C"/>
    <w:rsid w:val="00633B0D"/>
    <w:rsid w:val="00633BB0"/>
    <w:rsid w:val="00634671"/>
    <w:rsid w:val="006346C3"/>
    <w:rsid w:val="00636810"/>
    <w:rsid w:val="00636B19"/>
    <w:rsid w:val="00636B7C"/>
    <w:rsid w:val="006405C9"/>
    <w:rsid w:val="00641064"/>
    <w:rsid w:val="006412C4"/>
    <w:rsid w:val="0064298F"/>
    <w:rsid w:val="00643780"/>
    <w:rsid w:val="0064465C"/>
    <w:rsid w:val="00644CF2"/>
    <w:rsid w:val="00644D08"/>
    <w:rsid w:val="00645CF5"/>
    <w:rsid w:val="00646E01"/>
    <w:rsid w:val="00650910"/>
    <w:rsid w:val="00650F0D"/>
    <w:rsid w:val="006510EA"/>
    <w:rsid w:val="00651181"/>
    <w:rsid w:val="006514D6"/>
    <w:rsid w:val="006515BE"/>
    <w:rsid w:val="006523BF"/>
    <w:rsid w:val="00652753"/>
    <w:rsid w:val="006529CA"/>
    <w:rsid w:val="00653271"/>
    <w:rsid w:val="00653309"/>
    <w:rsid w:val="0065332D"/>
    <w:rsid w:val="00653A8A"/>
    <w:rsid w:val="00654877"/>
    <w:rsid w:val="0065572E"/>
    <w:rsid w:val="00655AEB"/>
    <w:rsid w:val="00657A7B"/>
    <w:rsid w:val="00657B65"/>
    <w:rsid w:val="00657DC9"/>
    <w:rsid w:val="00657EB4"/>
    <w:rsid w:val="00660984"/>
    <w:rsid w:val="00661598"/>
    <w:rsid w:val="0066187B"/>
    <w:rsid w:val="00661F4A"/>
    <w:rsid w:val="00661FBC"/>
    <w:rsid w:val="006637C5"/>
    <w:rsid w:val="00663A50"/>
    <w:rsid w:val="006642DB"/>
    <w:rsid w:val="00664615"/>
    <w:rsid w:val="006651AA"/>
    <w:rsid w:val="00665D1C"/>
    <w:rsid w:val="00666857"/>
    <w:rsid w:val="00670E67"/>
    <w:rsid w:val="006736AF"/>
    <w:rsid w:val="00674D34"/>
    <w:rsid w:val="006758C9"/>
    <w:rsid w:val="00675CA5"/>
    <w:rsid w:val="00676DAD"/>
    <w:rsid w:val="006772B8"/>
    <w:rsid w:val="00677D8C"/>
    <w:rsid w:val="0068040B"/>
    <w:rsid w:val="00681FD8"/>
    <w:rsid w:val="00684675"/>
    <w:rsid w:val="0068468D"/>
    <w:rsid w:val="00684B7E"/>
    <w:rsid w:val="00684CB6"/>
    <w:rsid w:val="00685631"/>
    <w:rsid w:val="0068662E"/>
    <w:rsid w:val="00686D63"/>
    <w:rsid w:val="00687422"/>
    <w:rsid w:val="006876AF"/>
    <w:rsid w:val="0069006F"/>
    <w:rsid w:val="00690161"/>
    <w:rsid w:val="00691BFC"/>
    <w:rsid w:val="00692AFE"/>
    <w:rsid w:val="0069303E"/>
    <w:rsid w:val="0069430E"/>
    <w:rsid w:val="006943BE"/>
    <w:rsid w:val="00694F09"/>
    <w:rsid w:val="00695AE0"/>
    <w:rsid w:val="00695EF7"/>
    <w:rsid w:val="00697225"/>
    <w:rsid w:val="00697A8E"/>
    <w:rsid w:val="006A01DF"/>
    <w:rsid w:val="006A0D1F"/>
    <w:rsid w:val="006A1309"/>
    <w:rsid w:val="006A2A8D"/>
    <w:rsid w:val="006A4104"/>
    <w:rsid w:val="006A4976"/>
    <w:rsid w:val="006A4B67"/>
    <w:rsid w:val="006A5021"/>
    <w:rsid w:val="006A573B"/>
    <w:rsid w:val="006A5D2D"/>
    <w:rsid w:val="006A6891"/>
    <w:rsid w:val="006A6B49"/>
    <w:rsid w:val="006A7235"/>
    <w:rsid w:val="006A780E"/>
    <w:rsid w:val="006A790E"/>
    <w:rsid w:val="006A7FF2"/>
    <w:rsid w:val="006B05EE"/>
    <w:rsid w:val="006B0DBD"/>
    <w:rsid w:val="006B1039"/>
    <w:rsid w:val="006B1667"/>
    <w:rsid w:val="006B1D2C"/>
    <w:rsid w:val="006B2EC6"/>
    <w:rsid w:val="006B32C0"/>
    <w:rsid w:val="006B35C9"/>
    <w:rsid w:val="006B4652"/>
    <w:rsid w:val="006B4DF1"/>
    <w:rsid w:val="006B5715"/>
    <w:rsid w:val="006B6BCD"/>
    <w:rsid w:val="006B71D9"/>
    <w:rsid w:val="006C122E"/>
    <w:rsid w:val="006C17A5"/>
    <w:rsid w:val="006C2219"/>
    <w:rsid w:val="006C2EE1"/>
    <w:rsid w:val="006C3A54"/>
    <w:rsid w:val="006C44EF"/>
    <w:rsid w:val="006C4627"/>
    <w:rsid w:val="006C5505"/>
    <w:rsid w:val="006C5E04"/>
    <w:rsid w:val="006C5E33"/>
    <w:rsid w:val="006C6725"/>
    <w:rsid w:val="006C699E"/>
    <w:rsid w:val="006C6B9C"/>
    <w:rsid w:val="006D1FCA"/>
    <w:rsid w:val="006D2D28"/>
    <w:rsid w:val="006D31F7"/>
    <w:rsid w:val="006D4BEF"/>
    <w:rsid w:val="006D4C98"/>
    <w:rsid w:val="006D56DB"/>
    <w:rsid w:val="006D58C1"/>
    <w:rsid w:val="006D64BC"/>
    <w:rsid w:val="006D656F"/>
    <w:rsid w:val="006D6B67"/>
    <w:rsid w:val="006D78D0"/>
    <w:rsid w:val="006D7C26"/>
    <w:rsid w:val="006D7D0F"/>
    <w:rsid w:val="006E0550"/>
    <w:rsid w:val="006E101A"/>
    <w:rsid w:val="006E11C0"/>
    <w:rsid w:val="006E15EE"/>
    <w:rsid w:val="006E1A59"/>
    <w:rsid w:val="006E1B40"/>
    <w:rsid w:val="006E28BF"/>
    <w:rsid w:val="006E2B8C"/>
    <w:rsid w:val="006E2C10"/>
    <w:rsid w:val="006E2EFE"/>
    <w:rsid w:val="006E3600"/>
    <w:rsid w:val="006E46B9"/>
    <w:rsid w:val="006E4C32"/>
    <w:rsid w:val="006E5CC5"/>
    <w:rsid w:val="006E6888"/>
    <w:rsid w:val="006E69F8"/>
    <w:rsid w:val="006E6D44"/>
    <w:rsid w:val="006E71E7"/>
    <w:rsid w:val="006E751A"/>
    <w:rsid w:val="006E791A"/>
    <w:rsid w:val="006F0069"/>
    <w:rsid w:val="006F0567"/>
    <w:rsid w:val="006F1C6B"/>
    <w:rsid w:val="006F2CDC"/>
    <w:rsid w:val="006F2CE5"/>
    <w:rsid w:val="006F3052"/>
    <w:rsid w:val="006F3766"/>
    <w:rsid w:val="006F4389"/>
    <w:rsid w:val="006F5C81"/>
    <w:rsid w:val="006F5F43"/>
    <w:rsid w:val="006F6CBA"/>
    <w:rsid w:val="006F6DA4"/>
    <w:rsid w:val="006F70EC"/>
    <w:rsid w:val="006F716B"/>
    <w:rsid w:val="007026AA"/>
    <w:rsid w:val="00703199"/>
    <w:rsid w:val="00703E68"/>
    <w:rsid w:val="00704D86"/>
    <w:rsid w:val="0070533A"/>
    <w:rsid w:val="007055D5"/>
    <w:rsid w:val="00706470"/>
    <w:rsid w:val="00707535"/>
    <w:rsid w:val="00707C61"/>
    <w:rsid w:val="007104C4"/>
    <w:rsid w:val="00710CEA"/>
    <w:rsid w:val="0071249F"/>
    <w:rsid w:val="00713AA3"/>
    <w:rsid w:val="00715A42"/>
    <w:rsid w:val="007168E9"/>
    <w:rsid w:val="0071795F"/>
    <w:rsid w:val="00717CAF"/>
    <w:rsid w:val="007209AF"/>
    <w:rsid w:val="007215EB"/>
    <w:rsid w:val="007218B4"/>
    <w:rsid w:val="007219D0"/>
    <w:rsid w:val="00723C69"/>
    <w:rsid w:val="00730BB8"/>
    <w:rsid w:val="00731337"/>
    <w:rsid w:val="0073188F"/>
    <w:rsid w:val="007320B0"/>
    <w:rsid w:val="007330ED"/>
    <w:rsid w:val="007346DA"/>
    <w:rsid w:val="00734FE1"/>
    <w:rsid w:val="00736A30"/>
    <w:rsid w:val="0073759B"/>
    <w:rsid w:val="007376E5"/>
    <w:rsid w:val="00737B98"/>
    <w:rsid w:val="0074064A"/>
    <w:rsid w:val="00740A02"/>
    <w:rsid w:val="00740C5A"/>
    <w:rsid w:val="007415AD"/>
    <w:rsid w:val="00742511"/>
    <w:rsid w:val="00742F7B"/>
    <w:rsid w:val="00743315"/>
    <w:rsid w:val="00743B5C"/>
    <w:rsid w:val="00743E80"/>
    <w:rsid w:val="007441E5"/>
    <w:rsid w:val="007445E5"/>
    <w:rsid w:val="00744DB9"/>
    <w:rsid w:val="007452FC"/>
    <w:rsid w:val="00745E54"/>
    <w:rsid w:val="0075022F"/>
    <w:rsid w:val="00751F23"/>
    <w:rsid w:val="007525A2"/>
    <w:rsid w:val="007528C4"/>
    <w:rsid w:val="00752930"/>
    <w:rsid w:val="0075297D"/>
    <w:rsid w:val="00752A6C"/>
    <w:rsid w:val="00752C15"/>
    <w:rsid w:val="007531B7"/>
    <w:rsid w:val="00753374"/>
    <w:rsid w:val="00754369"/>
    <w:rsid w:val="00755741"/>
    <w:rsid w:val="00756556"/>
    <w:rsid w:val="0075734E"/>
    <w:rsid w:val="00761C82"/>
    <w:rsid w:val="00761CFE"/>
    <w:rsid w:val="00761F8C"/>
    <w:rsid w:val="00762818"/>
    <w:rsid w:val="00764774"/>
    <w:rsid w:val="007657CF"/>
    <w:rsid w:val="007662F6"/>
    <w:rsid w:val="00766637"/>
    <w:rsid w:val="00767A64"/>
    <w:rsid w:val="007708EF"/>
    <w:rsid w:val="0077144A"/>
    <w:rsid w:val="007740BC"/>
    <w:rsid w:val="0077473B"/>
    <w:rsid w:val="007752B8"/>
    <w:rsid w:val="00776048"/>
    <w:rsid w:val="00776AEC"/>
    <w:rsid w:val="007777A2"/>
    <w:rsid w:val="00777E8E"/>
    <w:rsid w:val="007802CD"/>
    <w:rsid w:val="00780EE6"/>
    <w:rsid w:val="00781178"/>
    <w:rsid w:val="00781345"/>
    <w:rsid w:val="00781DD1"/>
    <w:rsid w:val="007820C1"/>
    <w:rsid w:val="007828FE"/>
    <w:rsid w:val="00785016"/>
    <w:rsid w:val="0078594D"/>
    <w:rsid w:val="00785FF8"/>
    <w:rsid w:val="0078701F"/>
    <w:rsid w:val="00787C53"/>
    <w:rsid w:val="00790874"/>
    <w:rsid w:val="007908E3"/>
    <w:rsid w:val="00790B31"/>
    <w:rsid w:val="00790B8C"/>
    <w:rsid w:val="00791983"/>
    <w:rsid w:val="00791B32"/>
    <w:rsid w:val="00791E59"/>
    <w:rsid w:val="00792A99"/>
    <w:rsid w:val="007939EC"/>
    <w:rsid w:val="00793CBA"/>
    <w:rsid w:val="00793D0F"/>
    <w:rsid w:val="0079429A"/>
    <w:rsid w:val="0079508D"/>
    <w:rsid w:val="00795BA6"/>
    <w:rsid w:val="00795E45"/>
    <w:rsid w:val="0079647B"/>
    <w:rsid w:val="00797197"/>
    <w:rsid w:val="00797543"/>
    <w:rsid w:val="007A0450"/>
    <w:rsid w:val="007A04D7"/>
    <w:rsid w:val="007A09BB"/>
    <w:rsid w:val="007A0F2F"/>
    <w:rsid w:val="007A243C"/>
    <w:rsid w:val="007A3494"/>
    <w:rsid w:val="007A3F4D"/>
    <w:rsid w:val="007A4380"/>
    <w:rsid w:val="007A5CAF"/>
    <w:rsid w:val="007A5E0C"/>
    <w:rsid w:val="007A6BC6"/>
    <w:rsid w:val="007A6F5A"/>
    <w:rsid w:val="007A7616"/>
    <w:rsid w:val="007A7EA4"/>
    <w:rsid w:val="007B0230"/>
    <w:rsid w:val="007B0C42"/>
    <w:rsid w:val="007B0C9E"/>
    <w:rsid w:val="007B1966"/>
    <w:rsid w:val="007B1E30"/>
    <w:rsid w:val="007B31D9"/>
    <w:rsid w:val="007B37D9"/>
    <w:rsid w:val="007B68D7"/>
    <w:rsid w:val="007C0E5F"/>
    <w:rsid w:val="007C0E7C"/>
    <w:rsid w:val="007C0FB6"/>
    <w:rsid w:val="007C1336"/>
    <w:rsid w:val="007C220C"/>
    <w:rsid w:val="007C2A73"/>
    <w:rsid w:val="007C302E"/>
    <w:rsid w:val="007C4ABB"/>
    <w:rsid w:val="007C5ABA"/>
    <w:rsid w:val="007C5B5D"/>
    <w:rsid w:val="007C66D8"/>
    <w:rsid w:val="007C6AE4"/>
    <w:rsid w:val="007C6D97"/>
    <w:rsid w:val="007C6E24"/>
    <w:rsid w:val="007D14C3"/>
    <w:rsid w:val="007D2E19"/>
    <w:rsid w:val="007D4231"/>
    <w:rsid w:val="007D4497"/>
    <w:rsid w:val="007D4616"/>
    <w:rsid w:val="007D5C2D"/>
    <w:rsid w:val="007D5EF3"/>
    <w:rsid w:val="007D6B1F"/>
    <w:rsid w:val="007D6CA7"/>
    <w:rsid w:val="007E0334"/>
    <w:rsid w:val="007E0CFD"/>
    <w:rsid w:val="007E265C"/>
    <w:rsid w:val="007E36D0"/>
    <w:rsid w:val="007E3CDB"/>
    <w:rsid w:val="007E41EE"/>
    <w:rsid w:val="007E478D"/>
    <w:rsid w:val="007E5211"/>
    <w:rsid w:val="007E6602"/>
    <w:rsid w:val="007E71D0"/>
    <w:rsid w:val="007F060F"/>
    <w:rsid w:val="007F0C65"/>
    <w:rsid w:val="007F27E5"/>
    <w:rsid w:val="007F369A"/>
    <w:rsid w:val="007F451F"/>
    <w:rsid w:val="007F4D82"/>
    <w:rsid w:val="007F59AD"/>
    <w:rsid w:val="007F631E"/>
    <w:rsid w:val="007F73AD"/>
    <w:rsid w:val="007F7800"/>
    <w:rsid w:val="007F79BB"/>
    <w:rsid w:val="008000AB"/>
    <w:rsid w:val="00800724"/>
    <w:rsid w:val="0080091E"/>
    <w:rsid w:val="008009E2"/>
    <w:rsid w:val="00800BC0"/>
    <w:rsid w:val="008010BA"/>
    <w:rsid w:val="00803106"/>
    <w:rsid w:val="008035B3"/>
    <w:rsid w:val="008035D2"/>
    <w:rsid w:val="00803A14"/>
    <w:rsid w:val="008053D2"/>
    <w:rsid w:val="008054D5"/>
    <w:rsid w:val="00805B87"/>
    <w:rsid w:val="00805CF8"/>
    <w:rsid w:val="008063C7"/>
    <w:rsid w:val="00806813"/>
    <w:rsid w:val="00806AA5"/>
    <w:rsid w:val="00806D55"/>
    <w:rsid w:val="00807E68"/>
    <w:rsid w:val="00812C14"/>
    <w:rsid w:val="00813029"/>
    <w:rsid w:val="00813175"/>
    <w:rsid w:val="0081323F"/>
    <w:rsid w:val="008132BC"/>
    <w:rsid w:val="0081445E"/>
    <w:rsid w:val="00814AB0"/>
    <w:rsid w:val="008150D0"/>
    <w:rsid w:val="00815159"/>
    <w:rsid w:val="008166A2"/>
    <w:rsid w:val="0081697F"/>
    <w:rsid w:val="008200B7"/>
    <w:rsid w:val="008205CD"/>
    <w:rsid w:val="00820807"/>
    <w:rsid w:val="00821074"/>
    <w:rsid w:val="00821350"/>
    <w:rsid w:val="00821630"/>
    <w:rsid w:val="00822A6D"/>
    <w:rsid w:val="00823211"/>
    <w:rsid w:val="00823FF9"/>
    <w:rsid w:val="00825AD2"/>
    <w:rsid w:val="00825E79"/>
    <w:rsid w:val="00826886"/>
    <w:rsid w:val="00827C04"/>
    <w:rsid w:val="00827C56"/>
    <w:rsid w:val="00827D9E"/>
    <w:rsid w:val="008304DC"/>
    <w:rsid w:val="00831A1B"/>
    <w:rsid w:val="00831A3C"/>
    <w:rsid w:val="00831E8C"/>
    <w:rsid w:val="00831F42"/>
    <w:rsid w:val="00832537"/>
    <w:rsid w:val="0083269B"/>
    <w:rsid w:val="0083309D"/>
    <w:rsid w:val="00834484"/>
    <w:rsid w:val="008347B1"/>
    <w:rsid w:val="00834C43"/>
    <w:rsid w:val="00834C6C"/>
    <w:rsid w:val="00834CC0"/>
    <w:rsid w:val="00834DE9"/>
    <w:rsid w:val="00835157"/>
    <w:rsid w:val="0083601F"/>
    <w:rsid w:val="008360F1"/>
    <w:rsid w:val="00836208"/>
    <w:rsid w:val="00840BDE"/>
    <w:rsid w:val="008410FB"/>
    <w:rsid w:val="008412EF"/>
    <w:rsid w:val="0084187C"/>
    <w:rsid w:val="00841F59"/>
    <w:rsid w:val="00842977"/>
    <w:rsid w:val="00843574"/>
    <w:rsid w:val="008452C2"/>
    <w:rsid w:val="008456B2"/>
    <w:rsid w:val="00845C6F"/>
    <w:rsid w:val="00846863"/>
    <w:rsid w:val="00847665"/>
    <w:rsid w:val="0085062D"/>
    <w:rsid w:val="00850AEE"/>
    <w:rsid w:val="0085145D"/>
    <w:rsid w:val="00852D9D"/>
    <w:rsid w:val="00853721"/>
    <w:rsid w:val="008544F6"/>
    <w:rsid w:val="008557BB"/>
    <w:rsid w:val="00856D5A"/>
    <w:rsid w:val="0085799D"/>
    <w:rsid w:val="00857AC1"/>
    <w:rsid w:val="00860C13"/>
    <w:rsid w:val="008611B8"/>
    <w:rsid w:val="00861276"/>
    <w:rsid w:val="00861632"/>
    <w:rsid w:val="008617D5"/>
    <w:rsid w:val="00861A60"/>
    <w:rsid w:val="008626E8"/>
    <w:rsid w:val="00862F78"/>
    <w:rsid w:val="00863154"/>
    <w:rsid w:val="008636DB"/>
    <w:rsid w:val="008638ED"/>
    <w:rsid w:val="00863E9F"/>
    <w:rsid w:val="00864A24"/>
    <w:rsid w:val="00866E77"/>
    <w:rsid w:val="00867983"/>
    <w:rsid w:val="00867D7C"/>
    <w:rsid w:val="008710D0"/>
    <w:rsid w:val="008729F6"/>
    <w:rsid w:val="00873A64"/>
    <w:rsid w:val="008741A6"/>
    <w:rsid w:val="0087446F"/>
    <w:rsid w:val="0087498B"/>
    <w:rsid w:val="00874BEE"/>
    <w:rsid w:val="008751F2"/>
    <w:rsid w:val="0087530F"/>
    <w:rsid w:val="0087561E"/>
    <w:rsid w:val="00876865"/>
    <w:rsid w:val="008777D7"/>
    <w:rsid w:val="008814D3"/>
    <w:rsid w:val="00881854"/>
    <w:rsid w:val="00881A78"/>
    <w:rsid w:val="00881E93"/>
    <w:rsid w:val="00882163"/>
    <w:rsid w:val="00882278"/>
    <w:rsid w:val="008824AC"/>
    <w:rsid w:val="00882EAF"/>
    <w:rsid w:val="00883EB8"/>
    <w:rsid w:val="0088508B"/>
    <w:rsid w:val="008858A2"/>
    <w:rsid w:val="008861DC"/>
    <w:rsid w:val="00886724"/>
    <w:rsid w:val="00886C2E"/>
    <w:rsid w:val="008870E0"/>
    <w:rsid w:val="00887C47"/>
    <w:rsid w:val="0089032F"/>
    <w:rsid w:val="008908A4"/>
    <w:rsid w:val="00890DD2"/>
    <w:rsid w:val="008918A4"/>
    <w:rsid w:val="00891A88"/>
    <w:rsid w:val="008938BE"/>
    <w:rsid w:val="008943A8"/>
    <w:rsid w:val="0089449F"/>
    <w:rsid w:val="00894D8B"/>
    <w:rsid w:val="008950F1"/>
    <w:rsid w:val="00895573"/>
    <w:rsid w:val="00896027"/>
    <w:rsid w:val="00896682"/>
    <w:rsid w:val="008A019D"/>
    <w:rsid w:val="008A039E"/>
    <w:rsid w:val="008A21AB"/>
    <w:rsid w:val="008A2914"/>
    <w:rsid w:val="008A2CD2"/>
    <w:rsid w:val="008A3517"/>
    <w:rsid w:val="008A47B3"/>
    <w:rsid w:val="008A4847"/>
    <w:rsid w:val="008A4BE5"/>
    <w:rsid w:val="008A5770"/>
    <w:rsid w:val="008A5A94"/>
    <w:rsid w:val="008A5BD4"/>
    <w:rsid w:val="008A6D52"/>
    <w:rsid w:val="008A6FB6"/>
    <w:rsid w:val="008A77F8"/>
    <w:rsid w:val="008B0349"/>
    <w:rsid w:val="008B0607"/>
    <w:rsid w:val="008B1298"/>
    <w:rsid w:val="008B16D6"/>
    <w:rsid w:val="008B29B3"/>
    <w:rsid w:val="008B2CC8"/>
    <w:rsid w:val="008B2CCE"/>
    <w:rsid w:val="008B2E49"/>
    <w:rsid w:val="008B3438"/>
    <w:rsid w:val="008B7119"/>
    <w:rsid w:val="008B7183"/>
    <w:rsid w:val="008B748F"/>
    <w:rsid w:val="008B759B"/>
    <w:rsid w:val="008C1972"/>
    <w:rsid w:val="008C1DDF"/>
    <w:rsid w:val="008C22B5"/>
    <w:rsid w:val="008C3D40"/>
    <w:rsid w:val="008C4888"/>
    <w:rsid w:val="008C493D"/>
    <w:rsid w:val="008C6475"/>
    <w:rsid w:val="008C6F1B"/>
    <w:rsid w:val="008C6FF4"/>
    <w:rsid w:val="008C7A4C"/>
    <w:rsid w:val="008D0EB0"/>
    <w:rsid w:val="008D0EC9"/>
    <w:rsid w:val="008D31C1"/>
    <w:rsid w:val="008D3955"/>
    <w:rsid w:val="008D5FCD"/>
    <w:rsid w:val="008D66C4"/>
    <w:rsid w:val="008D6DDE"/>
    <w:rsid w:val="008D7739"/>
    <w:rsid w:val="008E008B"/>
    <w:rsid w:val="008E00BF"/>
    <w:rsid w:val="008E1BD8"/>
    <w:rsid w:val="008E2057"/>
    <w:rsid w:val="008E208E"/>
    <w:rsid w:val="008E351A"/>
    <w:rsid w:val="008E428A"/>
    <w:rsid w:val="008E4D5C"/>
    <w:rsid w:val="008E4E5C"/>
    <w:rsid w:val="008E56D7"/>
    <w:rsid w:val="008E56D8"/>
    <w:rsid w:val="008E64DB"/>
    <w:rsid w:val="008E6CDF"/>
    <w:rsid w:val="008E6E17"/>
    <w:rsid w:val="008E73B5"/>
    <w:rsid w:val="008E767A"/>
    <w:rsid w:val="008E78B8"/>
    <w:rsid w:val="008F0049"/>
    <w:rsid w:val="008F007D"/>
    <w:rsid w:val="008F3F37"/>
    <w:rsid w:val="008F46CF"/>
    <w:rsid w:val="008F4CF8"/>
    <w:rsid w:val="008F542B"/>
    <w:rsid w:val="008F554C"/>
    <w:rsid w:val="008F6047"/>
    <w:rsid w:val="008F6200"/>
    <w:rsid w:val="008F6899"/>
    <w:rsid w:val="008F77B2"/>
    <w:rsid w:val="008F7B73"/>
    <w:rsid w:val="009000FA"/>
    <w:rsid w:val="00900650"/>
    <w:rsid w:val="00900F9E"/>
    <w:rsid w:val="009010CC"/>
    <w:rsid w:val="00901375"/>
    <w:rsid w:val="00901A13"/>
    <w:rsid w:val="00901BE2"/>
    <w:rsid w:val="0090209E"/>
    <w:rsid w:val="00902DC6"/>
    <w:rsid w:val="00904218"/>
    <w:rsid w:val="00904CF0"/>
    <w:rsid w:val="00904E8A"/>
    <w:rsid w:val="009055A1"/>
    <w:rsid w:val="009075B3"/>
    <w:rsid w:val="00907F0A"/>
    <w:rsid w:val="009104D1"/>
    <w:rsid w:val="00910B52"/>
    <w:rsid w:val="0091188F"/>
    <w:rsid w:val="00911F2D"/>
    <w:rsid w:val="009125DA"/>
    <w:rsid w:val="0091574D"/>
    <w:rsid w:val="00915C6A"/>
    <w:rsid w:val="009161EE"/>
    <w:rsid w:val="00916753"/>
    <w:rsid w:val="009168F8"/>
    <w:rsid w:val="00916F8F"/>
    <w:rsid w:val="009173EC"/>
    <w:rsid w:val="00917510"/>
    <w:rsid w:val="009209A0"/>
    <w:rsid w:val="00920FC6"/>
    <w:rsid w:val="0092346E"/>
    <w:rsid w:val="00924458"/>
    <w:rsid w:val="0092455C"/>
    <w:rsid w:val="00925466"/>
    <w:rsid w:val="0092569C"/>
    <w:rsid w:val="00926348"/>
    <w:rsid w:val="009265BA"/>
    <w:rsid w:val="009268A5"/>
    <w:rsid w:val="00927D41"/>
    <w:rsid w:val="009324D4"/>
    <w:rsid w:val="00932560"/>
    <w:rsid w:val="009327EB"/>
    <w:rsid w:val="009329AC"/>
    <w:rsid w:val="00932DF9"/>
    <w:rsid w:val="00933195"/>
    <w:rsid w:val="00934994"/>
    <w:rsid w:val="00935199"/>
    <w:rsid w:val="00935A7A"/>
    <w:rsid w:val="00935C49"/>
    <w:rsid w:val="0093635F"/>
    <w:rsid w:val="00937414"/>
    <w:rsid w:val="00940CEE"/>
    <w:rsid w:val="009425EB"/>
    <w:rsid w:val="0094292A"/>
    <w:rsid w:val="00942B5C"/>
    <w:rsid w:val="009432B0"/>
    <w:rsid w:val="00943C00"/>
    <w:rsid w:val="00943F4F"/>
    <w:rsid w:val="00943FB9"/>
    <w:rsid w:val="00944370"/>
    <w:rsid w:val="0094443A"/>
    <w:rsid w:val="00944EF6"/>
    <w:rsid w:val="00944F9E"/>
    <w:rsid w:val="009456EE"/>
    <w:rsid w:val="009460AC"/>
    <w:rsid w:val="009465C2"/>
    <w:rsid w:val="00946A49"/>
    <w:rsid w:val="00950A3D"/>
    <w:rsid w:val="009521FB"/>
    <w:rsid w:val="009524E7"/>
    <w:rsid w:val="00952BDA"/>
    <w:rsid w:val="009539D7"/>
    <w:rsid w:val="0095414A"/>
    <w:rsid w:val="00956E47"/>
    <w:rsid w:val="00956EB9"/>
    <w:rsid w:val="00957798"/>
    <w:rsid w:val="00957CB8"/>
    <w:rsid w:val="00957E26"/>
    <w:rsid w:val="00957E49"/>
    <w:rsid w:val="0096089B"/>
    <w:rsid w:val="00960D24"/>
    <w:rsid w:val="009623AD"/>
    <w:rsid w:val="00963786"/>
    <w:rsid w:val="00963CB1"/>
    <w:rsid w:val="0096446C"/>
    <w:rsid w:val="00965303"/>
    <w:rsid w:val="00965EB5"/>
    <w:rsid w:val="00966624"/>
    <w:rsid w:val="009666AA"/>
    <w:rsid w:val="00966815"/>
    <w:rsid w:val="00966EDA"/>
    <w:rsid w:val="0096703C"/>
    <w:rsid w:val="00971DBA"/>
    <w:rsid w:val="00972B89"/>
    <w:rsid w:val="00972BFE"/>
    <w:rsid w:val="00972CD8"/>
    <w:rsid w:val="00973518"/>
    <w:rsid w:val="00973776"/>
    <w:rsid w:val="009749CB"/>
    <w:rsid w:val="00974A0A"/>
    <w:rsid w:val="009759B4"/>
    <w:rsid w:val="009767ED"/>
    <w:rsid w:val="00976F05"/>
    <w:rsid w:val="00976F76"/>
    <w:rsid w:val="009801FB"/>
    <w:rsid w:val="009816E7"/>
    <w:rsid w:val="009821F5"/>
    <w:rsid w:val="0098230D"/>
    <w:rsid w:val="00982BA1"/>
    <w:rsid w:val="00982F8C"/>
    <w:rsid w:val="009831AF"/>
    <w:rsid w:val="009831D5"/>
    <w:rsid w:val="0098330C"/>
    <w:rsid w:val="009840CE"/>
    <w:rsid w:val="00984E2B"/>
    <w:rsid w:val="00986FE0"/>
    <w:rsid w:val="009870B8"/>
    <w:rsid w:val="009875CC"/>
    <w:rsid w:val="00987B12"/>
    <w:rsid w:val="0099036F"/>
    <w:rsid w:val="009905DA"/>
    <w:rsid w:val="009911E7"/>
    <w:rsid w:val="00991F6D"/>
    <w:rsid w:val="00992AB2"/>
    <w:rsid w:val="0099429A"/>
    <w:rsid w:val="00994DAA"/>
    <w:rsid w:val="00996168"/>
    <w:rsid w:val="009976A1"/>
    <w:rsid w:val="00997B0D"/>
    <w:rsid w:val="00997B6C"/>
    <w:rsid w:val="00997EC4"/>
    <w:rsid w:val="00997F4C"/>
    <w:rsid w:val="009A0F85"/>
    <w:rsid w:val="009A1AD6"/>
    <w:rsid w:val="009A2838"/>
    <w:rsid w:val="009A3172"/>
    <w:rsid w:val="009A3B27"/>
    <w:rsid w:val="009A462A"/>
    <w:rsid w:val="009A4F60"/>
    <w:rsid w:val="009A6F05"/>
    <w:rsid w:val="009A7012"/>
    <w:rsid w:val="009A7AE0"/>
    <w:rsid w:val="009A7FA3"/>
    <w:rsid w:val="009B0A70"/>
    <w:rsid w:val="009B0BFD"/>
    <w:rsid w:val="009B1101"/>
    <w:rsid w:val="009B184D"/>
    <w:rsid w:val="009B23C4"/>
    <w:rsid w:val="009B23FD"/>
    <w:rsid w:val="009B245F"/>
    <w:rsid w:val="009B2A3A"/>
    <w:rsid w:val="009B3D46"/>
    <w:rsid w:val="009B46DB"/>
    <w:rsid w:val="009B5AF1"/>
    <w:rsid w:val="009B6079"/>
    <w:rsid w:val="009B6812"/>
    <w:rsid w:val="009B6D6F"/>
    <w:rsid w:val="009B6FB7"/>
    <w:rsid w:val="009B73F0"/>
    <w:rsid w:val="009B7481"/>
    <w:rsid w:val="009B7886"/>
    <w:rsid w:val="009C0AE7"/>
    <w:rsid w:val="009C233F"/>
    <w:rsid w:val="009C2B43"/>
    <w:rsid w:val="009C2E3B"/>
    <w:rsid w:val="009C2E4C"/>
    <w:rsid w:val="009C4213"/>
    <w:rsid w:val="009C4FF5"/>
    <w:rsid w:val="009C50ED"/>
    <w:rsid w:val="009C5585"/>
    <w:rsid w:val="009C63F4"/>
    <w:rsid w:val="009C64AE"/>
    <w:rsid w:val="009C6F9A"/>
    <w:rsid w:val="009C7213"/>
    <w:rsid w:val="009C78E4"/>
    <w:rsid w:val="009C7B05"/>
    <w:rsid w:val="009D1951"/>
    <w:rsid w:val="009D1DDA"/>
    <w:rsid w:val="009D20DE"/>
    <w:rsid w:val="009D2377"/>
    <w:rsid w:val="009D2CE6"/>
    <w:rsid w:val="009D33CC"/>
    <w:rsid w:val="009D389F"/>
    <w:rsid w:val="009D4479"/>
    <w:rsid w:val="009D483F"/>
    <w:rsid w:val="009D4BD1"/>
    <w:rsid w:val="009D5B08"/>
    <w:rsid w:val="009D6006"/>
    <w:rsid w:val="009D61B7"/>
    <w:rsid w:val="009E04E7"/>
    <w:rsid w:val="009E0B85"/>
    <w:rsid w:val="009E0DB3"/>
    <w:rsid w:val="009E0F74"/>
    <w:rsid w:val="009E1552"/>
    <w:rsid w:val="009E17AF"/>
    <w:rsid w:val="009E1B79"/>
    <w:rsid w:val="009E26F4"/>
    <w:rsid w:val="009E2943"/>
    <w:rsid w:val="009E5D34"/>
    <w:rsid w:val="009E5E02"/>
    <w:rsid w:val="009E600A"/>
    <w:rsid w:val="009E6107"/>
    <w:rsid w:val="009E72EA"/>
    <w:rsid w:val="009E7F77"/>
    <w:rsid w:val="009F02C5"/>
    <w:rsid w:val="009F0F46"/>
    <w:rsid w:val="009F0F79"/>
    <w:rsid w:val="009F1599"/>
    <w:rsid w:val="009F208B"/>
    <w:rsid w:val="009F21D5"/>
    <w:rsid w:val="009F2D7B"/>
    <w:rsid w:val="009F3E6E"/>
    <w:rsid w:val="009F5108"/>
    <w:rsid w:val="009F53EF"/>
    <w:rsid w:val="009F561D"/>
    <w:rsid w:val="009F760E"/>
    <w:rsid w:val="009F7929"/>
    <w:rsid w:val="009F795B"/>
    <w:rsid w:val="00A003D4"/>
    <w:rsid w:val="00A005A0"/>
    <w:rsid w:val="00A0193F"/>
    <w:rsid w:val="00A0269E"/>
    <w:rsid w:val="00A059DC"/>
    <w:rsid w:val="00A05A53"/>
    <w:rsid w:val="00A07CF6"/>
    <w:rsid w:val="00A07FD3"/>
    <w:rsid w:val="00A108F0"/>
    <w:rsid w:val="00A10F30"/>
    <w:rsid w:val="00A11F66"/>
    <w:rsid w:val="00A12ADF"/>
    <w:rsid w:val="00A12D9B"/>
    <w:rsid w:val="00A134E5"/>
    <w:rsid w:val="00A139F1"/>
    <w:rsid w:val="00A13CCB"/>
    <w:rsid w:val="00A153E0"/>
    <w:rsid w:val="00A15822"/>
    <w:rsid w:val="00A15B77"/>
    <w:rsid w:val="00A166A8"/>
    <w:rsid w:val="00A16CA6"/>
    <w:rsid w:val="00A176EB"/>
    <w:rsid w:val="00A208E2"/>
    <w:rsid w:val="00A21151"/>
    <w:rsid w:val="00A21366"/>
    <w:rsid w:val="00A228B9"/>
    <w:rsid w:val="00A23622"/>
    <w:rsid w:val="00A251C0"/>
    <w:rsid w:val="00A25F9E"/>
    <w:rsid w:val="00A26151"/>
    <w:rsid w:val="00A3015D"/>
    <w:rsid w:val="00A30D3F"/>
    <w:rsid w:val="00A31D25"/>
    <w:rsid w:val="00A32AEC"/>
    <w:rsid w:val="00A347CB"/>
    <w:rsid w:val="00A353A4"/>
    <w:rsid w:val="00A3555A"/>
    <w:rsid w:val="00A35DFF"/>
    <w:rsid w:val="00A36982"/>
    <w:rsid w:val="00A37D4B"/>
    <w:rsid w:val="00A40ECB"/>
    <w:rsid w:val="00A41156"/>
    <w:rsid w:val="00A415D8"/>
    <w:rsid w:val="00A41FBB"/>
    <w:rsid w:val="00A43445"/>
    <w:rsid w:val="00A44908"/>
    <w:rsid w:val="00A4497A"/>
    <w:rsid w:val="00A44C6A"/>
    <w:rsid w:val="00A455D1"/>
    <w:rsid w:val="00A46137"/>
    <w:rsid w:val="00A4659E"/>
    <w:rsid w:val="00A466E4"/>
    <w:rsid w:val="00A501D0"/>
    <w:rsid w:val="00A50313"/>
    <w:rsid w:val="00A50598"/>
    <w:rsid w:val="00A506B3"/>
    <w:rsid w:val="00A50BA1"/>
    <w:rsid w:val="00A50FFA"/>
    <w:rsid w:val="00A51E58"/>
    <w:rsid w:val="00A53A61"/>
    <w:rsid w:val="00A547CF"/>
    <w:rsid w:val="00A54AA0"/>
    <w:rsid w:val="00A54EB9"/>
    <w:rsid w:val="00A5658F"/>
    <w:rsid w:val="00A56749"/>
    <w:rsid w:val="00A56C2B"/>
    <w:rsid w:val="00A571C8"/>
    <w:rsid w:val="00A57DA9"/>
    <w:rsid w:val="00A57FC9"/>
    <w:rsid w:val="00A600F3"/>
    <w:rsid w:val="00A61A0C"/>
    <w:rsid w:val="00A61E9D"/>
    <w:rsid w:val="00A642F5"/>
    <w:rsid w:val="00A646B0"/>
    <w:rsid w:val="00A648C5"/>
    <w:rsid w:val="00A648F5"/>
    <w:rsid w:val="00A649F4"/>
    <w:rsid w:val="00A64A87"/>
    <w:rsid w:val="00A64AB2"/>
    <w:rsid w:val="00A65AF1"/>
    <w:rsid w:val="00A669A7"/>
    <w:rsid w:val="00A66C76"/>
    <w:rsid w:val="00A67440"/>
    <w:rsid w:val="00A70147"/>
    <w:rsid w:val="00A70E88"/>
    <w:rsid w:val="00A711EA"/>
    <w:rsid w:val="00A7136F"/>
    <w:rsid w:val="00A71BCF"/>
    <w:rsid w:val="00A7268C"/>
    <w:rsid w:val="00A749D0"/>
    <w:rsid w:val="00A75273"/>
    <w:rsid w:val="00A754B1"/>
    <w:rsid w:val="00A7552D"/>
    <w:rsid w:val="00A81452"/>
    <w:rsid w:val="00A81DB2"/>
    <w:rsid w:val="00A824EE"/>
    <w:rsid w:val="00A8264F"/>
    <w:rsid w:val="00A836AD"/>
    <w:rsid w:val="00A84762"/>
    <w:rsid w:val="00A86078"/>
    <w:rsid w:val="00A86955"/>
    <w:rsid w:val="00A872D3"/>
    <w:rsid w:val="00A90E3B"/>
    <w:rsid w:val="00A91D78"/>
    <w:rsid w:val="00A92123"/>
    <w:rsid w:val="00A92575"/>
    <w:rsid w:val="00A93171"/>
    <w:rsid w:val="00A93847"/>
    <w:rsid w:val="00A96010"/>
    <w:rsid w:val="00A963CE"/>
    <w:rsid w:val="00A96F1F"/>
    <w:rsid w:val="00A97401"/>
    <w:rsid w:val="00A97BFD"/>
    <w:rsid w:val="00AA1129"/>
    <w:rsid w:val="00AA17C4"/>
    <w:rsid w:val="00AA4D91"/>
    <w:rsid w:val="00AA5850"/>
    <w:rsid w:val="00AA67C9"/>
    <w:rsid w:val="00AA6E96"/>
    <w:rsid w:val="00AA7316"/>
    <w:rsid w:val="00AA7547"/>
    <w:rsid w:val="00AA768A"/>
    <w:rsid w:val="00AA79AB"/>
    <w:rsid w:val="00AA7A68"/>
    <w:rsid w:val="00AB093A"/>
    <w:rsid w:val="00AB1121"/>
    <w:rsid w:val="00AB2099"/>
    <w:rsid w:val="00AB2574"/>
    <w:rsid w:val="00AB2F56"/>
    <w:rsid w:val="00AB30B3"/>
    <w:rsid w:val="00AB367A"/>
    <w:rsid w:val="00AB40E3"/>
    <w:rsid w:val="00AB4964"/>
    <w:rsid w:val="00AB4ADD"/>
    <w:rsid w:val="00AB55F4"/>
    <w:rsid w:val="00AB68CE"/>
    <w:rsid w:val="00AB6B6F"/>
    <w:rsid w:val="00AB72F1"/>
    <w:rsid w:val="00AB74B9"/>
    <w:rsid w:val="00AB7F7F"/>
    <w:rsid w:val="00AC037A"/>
    <w:rsid w:val="00AC0B9C"/>
    <w:rsid w:val="00AC18F1"/>
    <w:rsid w:val="00AC3BF6"/>
    <w:rsid w:val="00AC3FB5"/>
    <w:rsid w:val="00AC4B95"/>
    <w:rsid w:val="00AC4ED7"/>
    <w:rsid w:val="00AC6A4C"/>
    <w:rsid w:val="00AC6C42"/>
    <w:rsid w:val="00AC7136"/>
    <w:rsid w:val="00AD3746"/>
    <w:rsid w:val="00AD3F60"/>
    <w:rsid w:val="00AD4538"/>
    <w:rsid w:val="00AD4E07"/>
    <w:rsid w:val="00AD66B6"/>
    <w:rsid w:val="00AD681C"/>
    <w:rsid w:val="00AE0049"/>
    <w:rsid w:val="00AE1528"/>
    <w:rsid w:val="00AE15D9"/>
    <w:rsid w:val="00AE1697"/>
    <w:rsid w:val="00AE20E8"/>
    <w:rsid w:val="00AE3051"/>
    <w:rsid w:val="00AE3191"/>
    <w:rsid w:val="00AE5131"/>
    <w:rsid w:val="00AE515C"/>
    <w:rsid w:val="00AE541B"/>
    <w:rsid w:val="00AE544D"/>
    <w:rsid w:val="00AE55D9"/>
    <w:rsid w:val="00AE5C9D"/>
    <w:rsid w:val="00AE626F"/>
    <w:rsid w:val="00AE708F"/>
    <w:rsid w:val="00AF042A"/>
    <w:rsid w:val="00AF0950"/>
    <w:rsid w:val="00AF1366"/>
    <w:rsid w:val="00AF240A"/>
    <w:rsid w:val="00AF3061"/>
    <w:rsid w:val="00AF4041"/>
    <w:rsid w:val="00AF4198"/>
    <w:rsid w:val="00AF49B0"/>
    <w:rsid w:val="00AF5950"/>
    <w:rsid w:val="00AF636E"/>
    <w:rsid w:val="00AF6701"/>
    <w:rsid w:val="00B00A01"/>
    <w:rsid w:val="00B0224A"/>
    <w:rsid w:val="00B026D3"/>
    <w:rsid w:val="00B0311D"/>
    <w:rsid w:val="00B03215"/>
    <w:rsid w:val="00B034E4"/>
    <w:rsid w:val="00B03F9B"/>
    <w:rsid w:val="00B04727"/>
    <w:rsid w:val="00B058B5"/>
    <w:rsid w:val="00B06090"/>
    <w:rsid w:val="00B07F44"/>
    <w:rsid w:val="00B13600"/>
    <w:rsid w:val="00B13AC2"/>
    <w:rsid w:val="00B1555D"/>
    <w:rsid w:val="00B15D7B"/>
    <w:rsid w:val="00B16BBE"/>
    <w:rsid w:val="00B208C0"/>
    <w:rsid w:val="00B226DD"/>
    <w:rsid w:val="00B23356"/>
    <w:rsid w:val="00B24422"/>
    <w:rsid w:val="00B246D2"/>
    <w:rsid w:val="00B24724"/>
    <w:rsid w:val="00B24964"/>
    <w:rsid w:val="00B24B7B"/>
    <w:rsid w:val="00B251B4"/>
    <w:rsid w:val="00B25D95"/>
    <w:rsid w:val="00B262C6"/>
    <w:rsid w:val="00B26498"/>
    <w:rsid w:val="00B27291"/>
    <w:rsid w:val="00B276AC"/>
    <w:rsid w:val="00B306A0"/>
    <w:rsid w:val="00B309AC"/>
    <w:rsid w:val="00B31F29"/>
    <w:rsid w:val="00B3201B"/>
    <w:rsid w:val="00B32D0E"/>
    <w:rsid w:val="00B33AF5"/>
    <w:rsid w:val="00B350A9"/>
    <w:rsid w:val="00B353D0"/>
    <w:rsid w:val="00B35C2A"/>
    <w:rsid w:val="00B35D4A"/>
    <w:rsid w:val="00B360D9"/>
    <w:rsid w:val="00B369D6"/>
    <w:rsid w:val="00B40196"/>
    <w:rsid w:val="00B407D1"/>
    <w:rsid w:val="00B4139E"/>
    <w:rsid w:val="00B41665"/>
    <w:rsid w:val="00B425FC"/>
    <w:rsid w:val="00B4294D"/>
    <w:rsid w:val="00B431EB"/>
    <w:rsid w:val="00B4359F"/>
    <w:rsid w:val="00B439A7"/>
    <w:rsid w:val="00B43E5B"/>
    <w:rsid w:val="00B4412F"/>
    <w:rsid w:val="00B44550"/>
    <w:rsid w:val="00B445CD"/>
    <w:rsid w:val="00B44E9E"/>
    <w:rsid w:val="00B45734"/>
    <w:rsid w:val="00B467A0"/>
    <w:rsid w:val="00B471F8"/>
    <w:rsid w:val="00B47560"/>
    <w:rsid w:val="00B50CF6"/>
    <w:rsid w:val="00B5146B"/>
    <w:rsid w:val="00B523D6"/>
    <w:rsid w:val="00B5284A"/>
    <w:rsid w:val="00B52BA4"/>
    <w:rsid w:val="00B542AE"/>
    <w:rsid w:val="00B54DC8"/>
    <w:rsid w:val="00B571FF"/>
    <w:rsid w:val="00B600AD"/>
    <w:rsid w:val="00B60C91"/>
    <w:rsid w:val="00B60E04"/>
    <w:rsid w:val="00B614F7"/>
    <w:rsid w:val="00B61505"/>
    <w:rsid w:val="00B621D1"/>
    <w:rsid w:val="00B624B3"/>
    <w:rsid w:val="00B63458"/>
    <w:rsid w:val="00B645AF"/>
    <w:rsid w:val="00B65266"/>
    <w:rsid w:val="00B66100"/>
    <w:rsid w:val="00B669A5"/>
    <w:rsid w:val="00B66CE9"/>
    <w:rsid w:val="00B70251"/>
    <w:rsid w:val="00B70624"/>
    <w:rsid w:val="00B71199"/>
    <w:rsid w:val="00B7175E"/>
    <w:rsid w:val="00B72FB1"/>
    <w:rsid w:val="00B73FA8"/>
    <w:rsid w:val="00B74843"/>
    <w:rsid w:val="00B75550"/>
    <w:rsid w:val="00B757E4"/>
    <w:rsid w:val="00B75BE3"/>
    <w:rsid w:val="00B75D46"/>
    <w:rsid w:val="00B76955"/>
    <w:rsid w:val="00B772DA"/>
    <w:rsid w:val="00B773BC"/>
    <w:rsid w:val="00B77808"/>
    <w:rsid w:val="00B7797D"/>
    <w:rsid w:val="00B80540"/>
    <w:rsid w:val="00B80A0E"/>
    <w:rsid w:val="00B811F0"/>
    <w:rsid w:val="00B8192E"/>
    <w:rsid w:val="00B824B9"/>
    <w:rsid w:val="00B82632"/>
    <w:rsid w:val="00B82898"/>
    <w:rsid w:val="00B82F08"/>
    <w:rsid w:val="00B83E78"/>
    <w:rsid w:val="00B8461B"/>
    <w:rsid w:val="00B84FE7"/>
    <w:rsid w:val="00B85650"/>
    <w:rsid w:val="00B87FCD"/>
    <w:rsid w:val="00B9008A"/>
    <w:rsid w:val="00B903EF"/>
    <w:rsid w:val="00B90E39"/>
    <w:rsid w:val="00B92511"/>
    <w:rsid w:val="00B92A57"/>
    <w:rsid w:val="00B93E5E"/>
    <w:rsid w:val="00B93F93"/>
    <w:rsid w:val="00B95332"/>
    <w:rsid w:val="00B95E17"/>
    <w:rsid w:val="00B95EFE"/>
    <w:rsid w:val="00B9610C"/>
    <w:rsid w:val="00B96342"/>
    <w:rsid w:val="00BA0A84"/>
    <w:rsid w:val="00BA0ADC"/>
    <w:rsid w:val="00BA1D2C"/>
    <w:rsid w:val="00BA26BB"/>
    <w:rsid w:val="00BA365E"/>
    <w:rsid w:val="00BA3767"/>
    <w:rsid w:val="00BA3951"/>
    <w:rsid w:val="00BA44C4"/>
    <w:rsid w:val="00BA6C55"/>
    <w:rsid w:val="00BA6DBA"/>
    <w:rsid w:val="00BA7072"/>
    <w:rsid w:val="00BA783A"/>
    <w:rsid w:val="00BA7D82"/>
    <w:rsid w:val="00BB0404"/>
    <w:rsid w:val="00BB0AB3"/>
    <w:rsid w:val="00BB0D6A"/>
    <w:rsid w:val="00BB0E04"/>
    <w:rsid w:val="00BB302F"/>
    <w:rsid w:val="00BB3EE9"/>
    <w:rsid w:val="00BB4052"/>
    <w:rsid w:val="00BB4164"/>
    <w:rsid w:val="00BB432B"/>
    <w:rsid w:val="00BB5724"/>
    <w:rsid w:val="00BB694C"/>
    <w:rsid w:val="00BC0A3A"/>
    <w:rsid w:val="00BC0DE0"/>
    <w:rsid w:val="00BC0EE8"/>
    <w:rsid w:val="00BC14AB"/>
    <w:rsid w:val="00BC2B83"/>
    <w:rsid w:val="00BC40BB"/>
    <w:rsid w:val="00BC4BFF"/>
    <w:rsid w:val="00BC51F2"/>
    <w:rsid w:val="00BC5A5C"/>
    <w:rsid w:val="00BC7D10"/>
    <w:rsid w:val="00BC7DE2"/>
    <w:rsid w:val="00BD03DE"/>
    <w:rsid w:val="00BD0899"/>
    <w:rsid w:val="00BD0B72"/>
    <w:rsid w:val="00BD1218"/>
    <w:rsid w:val="00BD123A"/>
    <w:rsid w:val="00BD167A"/>
    <w:rsid w:val="00BD17A5"/>
    <w:rsid w:val="00BD1C32"/>
    <w:rsid w:val="00BD2046"/>
    <w:rsid w:val="00BD2560"/>
    <w:rsid w:val="00BD31AB"/>
    <w:rsid w:val="00BD3FFD"/>
    <w:rsid w:val="00BD439A"/>
    <w:rsid w:val="00BD4604"/>
    <w:rsid w:val="00BD4638"/>
    <w:rsid w:val="00BD5A5A"/>
    <w:rsid w:val="00BD5D24"/>
    <w:rsid w:val="00BD7299"/>
    <w:rsid w:val="00BD73D0"/>
    <w:rsid w:val="00BD7874"/>
    <w:rsid w:val="00BE1011"/>
    <w:rsid w:val="00BE155D"/>
    <w:rsid w:val="00BE16CB"/>
    <w:rsid w:val="00BE1B32"/>
    <w:rsid w:val="00BE20BF"/>
    <w:rsid w:val="00BE40BB"/>
    <w:rsid w:val="00BE4507"/>
    <w:rsid w:val="00BE489E"/>
    <w:rsid w:val="00BE4E1A"/>
    <w:rsid w:val="00BE5729"/>
    <w:rsid w:val="00BE7BA6"/>
    <w:rsid w:val="00BF098B"/>
    <w:rsid w:val="00BF0D20"/>
    <w:rsid w:val="00BF13D7"/>
    <w:rsid w:val="00BF21A9"/>
    <w:rsid w:val="00BF2333"/>
    <w:rsid w:val="00BF2638"/>
    <w:rsid w:val="00BF365A"/>
    <w:rsid w:val="00BF3E96"/>
    <w:rsid w:val="00BF3FBC"/>
    <w:rsid w:val="00BF4307"/>
    <w:rsid w:val="00BF4503"/>
    <w:rsid w:val="00BF5083"/>
    <w:rsid w:val="00BF5735"/>
    <w:rsid w:val="00BF616F"/>
    <w:rsid w:val="00BF755D"/>
    <w:rsid w:val="00BF779D"/>
    <w:rsid w:val="00BF7BF2"/>
    <w:rsid w:val="00C0156E"/>
    <w:rsid w:val="00C0176C"/>
    <w:rsid w:val="00C02A45"/>
    <w:rsid w:val="00C03A2D"/>
    <w:rsid w:val="00C048F3"/>
    <w:rsid w:val="00C055CB"/>
    <w:rsid w:val="00C05A44"/>
    <w:rsid w:val="00C070E6"/>
    <w:rsid w:val="00C0738F"/>
    <w:rsid w:val="00C07971"/>
    <w:rsid w:val="00C07C6A"/>
    <w:rsid w:val="00C102CC"/>
    <w:rsid w:val="00C105BB"/>
    <w:rsid w:val="00C10BD9"/>
    <w:rsid w:val="00C12F31"/>
    <w:rsid w:val="00C13C15"/>
    <w:rsid w:val="00C14453"/>
    <w:rsid w:val="00C15F72"/>
    <w:rsid w:val="00C176C5"/>
    <w:rsid w:val="00C178E8"/>
    <w:rsid w:val="00C17CE0"/>
    <w:rsid w:val="00C17F6A"/>
    <w:rsid w:val="00C20019"/>
    <w:rsid w:val="00C208F8"/>
    <w:rsid w:val="00C20C27"/>
    <w:rsid w:val="00C20CBD"/>
    <w:rsid w:val="00C22076"/>
    <w:rsid w:val="00C22486"/>
    <w:rsid w:val="00C22B03"/>
    <w:rsid w:val="00C22C2B"/>
    <w:rsid w:val="00C2347D"/>
    <w:rsid w:val="00C240A2"/>
    <w:rsid w:val="00C24B0A"/>
    <w:rsid w:val="00C26BF2"/>
    <w:rsid w:val="00C2770F"/>
    <w:rsid w:val="00C308A6"/>
    <w:rsid w:val="00C31B42"/>
    <w:rsid w:val="00C323DF"/>
    <w:rsid w:val="00C33C88"/>
    <w:rsid w:val="00C34218"/>
    <w:rsid w:val="00C35F7F"/>
    <w:rsid w:val="00C37B0F"/>
    <w:rsid w:val="00C37C49"/>
    <w:rsid w:val="00C40615"/>
    <w:rsid w:val="00C41214"/>
    <w:rsid w:val="00C41BE6"/>
    <w:rsid w:val="00C4325D"/>
    <w:rsid w:val="00C4326D"/>
    <w:rsid w:val="00C439EA"/>
    <w:rsid w:val="00C4492E"/>
    <w:rsid w:val="00C45332"/>
    <w:rsid w:val="00C4560B"/>
    <w:rsid w:val="00C462F7"/>
    <w:rsid w:val="00C46EC3"/>
    <w:rsid w:val="00C47DCF"/>
    <w:rsid w:val="00C50F56"/>
    <w:rsid w:val="00C51EDD"/>
    <w:rsid w:val="00C51FAF"/>
    <w:rsid w:val="00C529D7"/>
    <w:rsid w:val="00C53425"/>
    <w:rsid w:val="00C54C56"/>
    <w:rsid w:val="00C55364"/>
    <w:rsid w:val="00C57DEB"/>
    <w:rsid w:val="00C6012D"/>
    <w:rsid w:val="00C60222"/>
    <w:rsid w:val="00C60EB5"/>
    <w:rsid w:val="00C646B5"/>
    <w:rsid w:val="00C647ED"/>
    <w:rsid w:val="00C65075"/>
    <w:rsid w:val="00C65559"/>
    <w:rsid w:val="00C6693F"/>
    <w:rsid w:val="00C66B83"/>
    <w:rsid w:val="00C66D06"/>
    <w:rsid w:val="00C67F0E"/>
    <w:rsid w:val="00C700B7"/>
    <w:rsid w:val="00C70179"/>
    <w:rsid w:val="00C7059F"/>
    <w:rsid w:val="00C710CD"/>
    <w:rsid w:val="00C7210E"/>
    <w:rsid w:val="00C73C9E"/>
    <w:rsid w:val="00C75A27"/>
    <w:rsid w:val="00C75B92"/>
    <w:rsid w:val="00C75BCA"/>
    <w:rsid w:val="00C76017"/>
    <w:rsid w:val="00C764A2"/>
    <w:rsid w:val="00C76A0A"/>
    <w:rsid w:val="00C76B7A"/>
    <w:rsid w:val="00C816BF"/>
    <w:rsid w:val="00C81D09"/>
    <w:rsid w:val="00C81F80"/>
    <w:rsid w:val="00C81F8A"/>
    <w:rsid w:val="00C8284A"/>
    <w:rsid w:val="00C82E63"/>
    <w:rsid w:val="00C839D3"/>
    <w:rsid w:val="00C849DC"/>
    <w:rsid w:val="00C85DB3"/>
    <w:rsid w:val="00C86281"/>
    <w:rsid w:val="00C86ABA"/>
    <w:rsid w:val="00C86FE3"/>
    <w:rsid w:val="00C87F9A"/>
    <w:rsid w:val="00C90054"/>
    <w:rsid w:val="00C91571"/>
    <w:rsid w:val="00C91E46"/>
    <w:rsid w:val="00C92FCC"/>
    <w:rsid w:val="00C931EE"/>
    <w:rsid w:val="00C93F8B"/>
    <w:rsid w:val="00C944AD"/>
    <w:rsid w:val="00C948FD"/>
    <w:rsid w:val="00C949D2"/>
    <w:rsid w:val="00C94E71"/>
    <w:rsid w:val="00C95E86"/>
    <w:rsid w:val="00C96469"/>
    <w:rsid w:val="00C97214"/>
    <w:rsid w:val="00C9765E"/>
    <w:rsid w:val="00CA0427"/>
    <w:rsid w:val="00CA0BAF"/>
    <w:rsid w:val="00CA0D4B"/>
    <w:rsid w:val="00CA26BD"/>
    <w:rsid w:val="00CA3CE2"/>
    <w:rsid w:val="00CA3CE5"/>
    <w:rsid w:val="00CA4120"/>
    <w:rsid w:val="00CA4319"/>
    <w:rsid w:val="00CA4751"/>
    <w:rsid w:val="00CA57A8"/>
    <w:rsid w:val="00CA5EC2"/>
    <w:rsid w:val="00CA629C"/>
    <w:rsid w:val="00CA646F"/>
    <w:rsid w:val="00CA64D6"/>
    <w:rsid w:val="00CA6BFC"/>
    <w:rsid w:val="00CA7B8E"/>
    <w:rsid w:val="00CA7BBF"/>
    <w:rsid w:val="00CB109A"/>
    <w:rsid w:val="00CB1A72"/>
    <w:rsid w:val="00CB2313"/>
    <w:rsid w:val="00CB231B"/>
    <w:rsid w:val="00CB26C7"/>
    <w:rsid w:val="00CB382B"/>
    <w:rsid w:val="00CB402D"/>
    <w:rsid w:val="00CB4998"/>
    <w:rsid w:val="00CB54A2"/>
    <w:rsid w:val="00CB5525"/>
    <w:rsid w:val="00CB5B93"/>
    <w:rsid w:val="00CB6F0C"/>
    <w:rsid w:val="00CB7D39"/>
    <w:rsid w:val="00CC12D6"/>
    <w:rsid w:val="00CC182C"/>
    <w:rsid w:val="00CC22C1"/>
    <w:rsid w:val="00CC2BEB"/>
    <w:rsid w:val="00CC407E"/>
    <w:rsid w:val="00CC47F8"/>
    <w:rsid w:val="00CC7032"/>
    <w:rsid w:val="00CC7034"/>
    <w:rsid w:val="00CD12A6"/>
    <w:rsid w:val="00CD293A"/>
    <w:rsid w:val="00CD47E1"/>
    <w:rsid w:val="00CD509F"/>
    <w:rsid w:val="00CD77E5"/>
    <w:rsid w:val="00CE0DEE"/>
    <w:rsid w:val="00CE2A8F"/>
    <w:rsid w:val="00CE377A"/>
    <w:rsid w:val="00CE3EE8"/>
    <w:rsid w:val="00CE4092"/>
    <w:rsid w:val="00CE473E"/>
    <w:rsid w:val="00CE54F8"/>
    <w:rsid w:val="00CE586F"/>
    <w:rsid w:val="00CE62B2"/>
    <w:rsid w:val="00CE65DD"/>
    <w:rsid w:val="00CE7A45"/>
    <w:rsid w:val="00CF00D0"/>
    <w:rsid w:val="00CF19E6"/>
    <w:rsid w:val="00CF2C94"/>
    <w:rsid w:val="00CF338E"/>
    <w:rsid w:val="00CF4395"/>
    <w:rsid w:val="00CF4583"/>
    <w:rsid w:val="00CF4715"/>
    <w:rsid w:val="00CF5757"/>
    <w:rsid w:val="00CF5872"/>
    <w:rsid w:val="00CF58C6"/>
    <w:rsid w:val="00CF61DA"/>
    <w:rsid w:val="00CF62AC"/>
    <w:rsid w:val="00CF6C54"/>
    <w:rsid w:val="00D006B9"/>
    <w:rsid w:val="00D00A97"/>
    <w:rsid w:val="00D00DCC"/>
    <w:rsid w:val="00D0107E"/>
    <w:rsid w:val="00D011D4"/>
    <w:rsid w:val="00D01776"/>
    <w:rsid w:val="00D01786"/>
    <w:rsid w:val="00D0259B"/>
    <w:rsid w:val="00D02E46"/>
    <w:rsid w:val="00D03A26"/>
    <w:rsid w:val="00D03BE1"/>
    <w:rsid w:val="00D04A2B"/>
    <w:rsid w:val="00D04AD0"/>
    <w:rsid w:val="00D0525E"/>
    <w:rsid w:val="00D06470"/>
    <w:rsid w:val="00D06D3D"/>
    <w:rsid w:val="00D06EDD"/>
    <w:rsid w:val="00D10083"/>
    <w:rsid w:val="00D128D9"/>
    <w:rsid w:val="00D14CF7"/>
    <w:rsid w:val="00D151AC"/>
    <w:rsid w:val="00D154EE"/>
    <w:rsid w:val="00D15EF4"/>
    <w:rsid w:val="00D16BB0"/>
    <w:rsid w:val="00D17353"/>
    <w:rsid w:val="00D179C1"/>
    <w:rsid w:val="00D21A66"/>
    <w:rsid w:val="00D22622"/>
    <w:rsid w:val="00D227F7"/>
    <w:rsid w:val="00D2341A"/>
    <w:rsid w:val="00D2380C"/>
    <w:rsid w:val="00D23F60"/>
    <w:rsid w:val="00D24888"/>
    <w:rsid w:val="00D24A96"/>
    <w:rsid w:val="00D2655A"/>
    <w:rsid w:val="00D265DE"/>
    <w:rsid w:val="00D272A3"/>
    <w:rsid w:val="00D27A84"/>
    <w:rsid w:val="00D308F2"/>
    <w:rsid w:val="00D30B8D"/>
    <w:rsid w:val="00D3138F"/>
    <w:rsid w:val="00D318DD"/>
    <w:rsid w:val="00D33384"/>
    <w:rsid w:val="00D33839"/>
    <w:rsid w:val="00D33C09"/>
    <w:rsid w:val="00D33F92"/>
    <w:rsid w:val="00D34050"/>
    <w:rsid w:val="00D345CE"/>
    <w:rsid w:val="00D348F2"/>
    <w:rsid w:val="00D35574"/>
    <w:rsid w:val="00D35B63"/>
    <w:rsid w:val="00D40192"/>
    <w:rsid w:val="00D4096B"/>
    <w:rsid w:val="00D40C07"/>
    <w:rsid w:val="00D418A0"/>
    <w:rsid w:val="00D41E77"/>
    <w:rsid w:val="00D425B7"/>
    <w:rsid w:val="00D429D5"/>
    <w:rsid w:val="00D42D5E"/>
    <w:rsid w:val="00D439F7"/>
    <w:rsid w:val="00D43D6A"/>
    <w:rsid w:val="00D440F1"/>
    <w:rsid w:val="00D442A1"/>
    <w:rsid w:val="00D45A75"/>
    <w:rsid w:val="00D460F4"/>
    <w:rsid w:val="00D47279"/>
    <w:rsid w:val="00D47798"/>
    <w:rsid w:val="00D500E1"/>
    <w:rsid w:val="00D5100D"/>
    <w:rsid w:val="00D51A64"/>
    <w:rsid w:val="00D53163"/>
    <w:rsid w:val="00D5346A"/>
    <w:rsid w:val="00D53683"/>
    <w:rsid w:val="00D536B8"/>
    <w:rsid w:val="00D53F0A"/>
    <w:rsid w:val="00D54A39"/>
    <w:rsid w:val="00D54B2B"/>
    <w:rsid w:val="00D54E80"/>
    <w:rsid w:val="00D5581E"/>
    <w:rsid w:val="00D55B4A"/>
    <w:rsid w:val="00D561B4"/>
    <w:rsid w:val="00D566BD"/>
    <w:rsid w:val="00D57205"/>
    <w:rsid w:val="00D613FB"/>
    <w:rsid w:val="00D61493"/>
    <w:rsid w:val="00D618D3"/>
    <w:rsid w:val="00D621D4"/>
    <w:rsid w:val="00D62F87"/>
    <w:rsid w:val="00D64932"/>
    <w:rsid w:val="00D64962"/>
    <w:rsid w:val="00D64AAC"/>
    <w:rsid w:val="00D65778"/>
    <w:rsid w:val="00D667ED"/>
    <w:rsid w:val="00D673AA"/>
    <w:rsid w:val="00D70C4F"/>
    <w:rsid w:val="00D70E0E"/>
    <w:rsid w:val="00D71702"/>
    <w:rsid w:val="00D718EB"/>
    <w:rsid w:val="00D71CA9"/>
    <w:rsid w:val="00D7201E"/>
    <w:rsid w:val="00D72751"/>
    <w:rsid w:val="00D7381B"/>
    <w:rsid w:val="00D739F3"/>
    <w:rsid w:val="00D73FE5"/>
    <w:rsid w:val="00D74557"/>
    <w:rsid w:val="00D74CE8"/>
    <w:rsid w:val="00D755D2"/>
    <w:rsid w:val="00D76FD9"/>
    <w:rsid w:val="00D772AA"/>
    <w:rsid w:val="00D80124"/>
    <w:rsid w:val="00D8071A"/>
    <w:rsid w:val="00D81924"/>
    <w:rsid w:val="00D81E61"/>
    <w:rsid w:val="00D83310"/>
    <w:rsid w:val="00D83600"/>
    <w:rsid w:val="00D857C6"/>
    <w:rsid w:val="00D86840"/>
    <w:rsid w:val="00D86E4A"/>
    <w:rsid w:val="00D86EE1"/>
    <w:rsid w:val="00D90518"/>
    <w:rsid w:val="00D90E05"/>
    <w:rsid w:val="00D91457"/>
    <w:rsid w:val="00D916A9"/>
    <w:rsid w:val="00D92EA5"/>
    <w:rsid w:val="00D93E48"/>
    <w:rsid w:val="00D93E81"/>
    <w:rsid w:val="00D95AC0"/>
    <w:rsid w:val="00DA0B33"/>
    <w:rsid w:val="00DA1683"/>
    <w:rsid w:val="00DA1FE4"/>
    <w:rsid w:val="00DA2F3A"/>
    <w:rsid w:val="00DA3E35"/>
    <w:rsid w:val="00DA3F3D"/>
    <w:rsid w:val="00DA4AA0"/>
    <w:rsid w:val="00DA5A49"/>
    <w:rsid w:val="00DB0631"/>
    <w:rsid w:val="00DB0A89"/>
    <w:rsid w:val="00DB0AD8"/>
    <w:rsid w:val="00DB2091"/>
    <w:rsid w:val="00DB2F69"/>
    <w:rsid w:val="00DB45BE"/>
    <w:rsid w:val="00DB5CC0"/>
    <w:rsid w:val="00DB5E0C"/>
    <w:rsid w:val="00DB79DC"/>
    <w:rsid w:val="00DB7BFF"/>
    <w:rsid w:val="00DC02C0"/>
    <w:rsid w:val="00DC10A2"/>
    <w:rsid w:val="00DC13F6"/>
    <w:rsid w:val="00DC164C"/>
    <w:rsid w:val="00DC25BE"/>
    <w:rsid w:val="00DC278F"/>
    <w:rsid w:val="00DC330B"/>
    <w:rsid w:val="00DC42A1"/>
    <w:rsid w:val="00DC4330"/>
    <w:rsid w:val="00DC5FA6"/>
    <w:rsid w:val="00DC66AD"/>
    <w:rsid w:val="00DC68DC"/>
    <w:rsid w:val="00DD01BA"/>
    <w:rsid w:val="00DD0C22"/>
    <w:rsid w:val="00DD12CE"/>
    <w:rsid w:val="00DD1DB1"/>
    <w:rsid w:val="00DD28DC"/>
    <w:rsid w:val="00DD3D75"/>
    <w:rsid w:val="00DD3DB3"/>
    <w:rsid w:val="00DD4164"/>
    <w:rsid w:val="00DD4D22"/>
    <w:rsid w:val="00DD4E3F"/>
    <w:rsid w:val="00DD576E"/>
    <w:rsid w:val="00DD6250"/>
    <w:rsid w:val="00DD6F0D"/>
    <w:rsid w:val="00DE1008"/>
    <w:rsid w:val="00DE1AB0"/>
    <w:rsid w:val="00DE1D8F"/>
    <w:rsid w:val="00DE2809"/>
    <w:rsid w:val="00DE2CDE"/>
    <w:rsid w:val="00DE3F52"/>
    <w:rsid w:val="00DE4749"/>
    <w:rsid w:val="00DE7062"/>
    <w:rsid w:val="00DE784A"/>
    <w:rsid w:val="00DF083D"/>
    <w:rsid w:val="00DF287F"/>
    <w:rsid w:val="00DF31EA"/>
    <w:rsid w:val="00DF387B"/>
    <w:rsid w:val="00DF3918"/>
    <w:rsid w:val="00DF45B6"/>
    <w:rsid w:val="00DF5BAB"/>
    <w:rsid w:val="00DF5E25"/>
    <w:rsid w:val="00DF6F83"/>
    <w:rsid w:val="00DF72EF"/>
    <w:rsid w:val="00DF74BA"/>
    <w:rsid w:val="00DF7554"/>
    <w:rsid w:val="00E00F72"/>
    <w:rsid w:val="00E01D9F"/>
    <w:rsid w:val="00E03789"/>
    <w:rsid w:val="00E03F6F"/>
    <w:rsid w:val="00E0405A"/>
    <w:rsid w:val="00E04269"/>
    <w:rsid w:val="00E10447"/>
    <w:rsid w:val="00E11BB7"/>
    <w:rsid w:val="00E11F25"/>
    <w:rsid w:val="00E126CC"/>
    <w:rsid w:val="00E12775"/>
    <w:rsid w:val="00E12997"/>
    <w:rsid w:val="00E129A5"/>
    <w:rsid w:val="00E12B46"/>
    <w:rsid w:val="00E1372E"/>
    <w:rsid w:val="00E13DFB"/>
    <w:rsid w:val="00E15AC5"/>
    <w:rsid w:val="00E1621F"/>
    <w:rsid w:val="00E1729E"/>
    <w:rsid w:val="00E2041A"/>
    <w:rsid w:val="00E20FD4"/>
    <w:rsid w:val="00E23AF9"/>
    <w:rsid w:val="00E23D86"/>
    <w:rsid w:val="00E25071"/>
    <w:rsid w:val="00E2754C"/>
    <w:rsid w:val="00E27631"/>
    <w:rsid w:val="00E27765"/>
    <w:rsid w:val="00E279F6"/>
    <w:rsid w:val="00E30077"/>
    <w:rsid w:val="00E30ADA"/>
    <w:rsid w:val="00E321D5"/>
    <w:rsid w:val="00E32842"/>
    <w:rsid w:val="00E329E6"/>
    <w:rsid w:val="00E32E33"/>
    <w:rsid w:val="00E33439"/>
    <w:rsid w:val="00E33547"/>
    <w:rsid w:val="00E33794"/>
    <w:rsid w:val="00E34570"/>
    <w:rsid w:val="00E34A3A"/>
    <w:rsid w:val="00E34BE6"/>
    <w:rsid w:val="00E40A74"/>
    <w:rsid w:val="00E40EEC"/>
    <w:rsid w:val="00E41944"/>
    <w:rsid w:val="00E41F1C"/>
    <w:rsid w:val="00E42B88"/>
    <w:rsid w:val="00E42C7E"/>
    <w:rsid w:val="00E42FDD"/>
    <w:rsid w:val="00E43529"/>
    <w:rsid w:val="00E44E54"/>
    <w:rsid w:val="00E45FFD"/>
    <w:rsid w:val="00E4729F"/>
    <w:rsid w:val="00E505C6"/>
    <w:rsid w:val="00E52DBA"/>
    <w:rsid w:val="00E52E7C"/>
    <w:rsid w:val="00E52EF2"/>
    <w:rsid w:val="00E5324B"/>
    <w:rsid w:val="00E5417D"/>
    <w:rsid w:val="00E54A60"/>
    <w:rsid w:val="00E55467"/>
    <w:rsid w:val="00E55B4F"/>
    <w:rsid w:val="00E56BB1"/>
    <w:rsid w:val="00E56DC9"/>
    <w:rsid w:val="00E57CEB"/>
    <w:rsid w:val="00E60143"/>
    <w:rsid w:val="00E60172"/>
    <w:rsid w:val="00E614A6"/>
    <w:rsid w:val="00E61B65"/>
    <w:rsid w:val="00E61C58"/>
    <w:rsid w:val="00E64265"/>
    <w:rsid w:val="00E6479A"/>
    <w:rsid w:val="00E707E7"/>
    <w:rsid w:val="00E713C6"/>
    <w:rsid w:val="00E723B7"/>
    <w:rsid w:val="00E72587"/>
    <w:rsid w:val="00E72CD2"/>
    <w:rsid w:val="00E73B80"/>
    <w:rsid w:val="00E74273"/>
    <w:rsid w:val="00E74AD3"/>
    <w:rsid w:val="00E74C26"/>
    <w:rsid w:val="00E750DE"/>
    <w:rsid w:val="00E764A4"/>
    <w:rsid w:val="00E76A87"/>
    <w:rsid w:val="00E771F3"/>
    <w:rsid w:val="00E77A80"/>
    <w:rsid w:val="00E809CB"/>
    <w:rsid w:val="00E80C67"/>
    <w:rsid w:val="00E816CE"/>
    <w:rsid w:val="00E81A88"/>
    <w:rsid w:val="00E81D19"/>
    <w:rsid w:val="00E821D4"/>
    <w:rsid w:val="00E82CF3"/>
    <w:rsid w:val="00E830B7"/>
    <w:rsid w:val="00E8325B"/>
    <w:rsid w:val="00E83BBB"/>
    <w:rsid w:val="00E84AB2"/>
    <w:rsid w:val="00E85264"/>
    <w:rsid w:val="00E856ED"/>
    <w:rsid w:val="00E85880"/>
    <w:rsid w:val="00E85CA7"/>
    <w:rsid w:val="00E8764B"/>
    <w:rsid w:val="00E87709"/>
    <w:rsid w:val="00E8798B"/>
    <w:rsid w:val="00E879F6"/>
    <w:rsid w:val="00E902E7"/>
    <w:rsid w:val="00E908C4"/>
    <w:rsid w:val="00E90D1D"/>
    <w:rsid w:val="00E90D8E"/>
    <w:rsid w:val="00E91109"/>
    <w:rsid w:val="00E91422"/>
    <w:rsid w:val="00E91CE1"/>
    <w:rsid w:val="00E921FA"/>
    <w:rsid w:val="00E92288"/>
    <w:rsid w:val="00E9318E"/>
    <w:rsid w:val="00E93AA2"/>
    <w:rsid w:val="00E93E6D"/>
    <w:rsid w:val="00E95DFF"/>
    <w:rsid w:val="00E960CA"/>
    <w:rsid w:val="00E978C4"/>
    <w:rsid w:val="00EA00C9"/>
    <w:rsid w:val="00EA0C09"/>
    <w:rsid w:val="00EA0EB5"/>
    <w:rsid w:val="00EA1982"/>
    <w:rsid w:val="00EA2C94"/>
    <w:rsid w:val="00EA319D"/>
    <w:rsid w:val="00EA4571"/>
    <w:rsid w:val="00EA4614"/>
    <w:rsid w:val="00EA5725"/>
    <w:rsid w:val="00EA7721"/>
    <w:rsid w:val="00EA7BDD"/>
    <w:rsid w:val="00EB0220"/>
    <w:rsid w:val="00EB0540"/>
    <w:rsid w:val="00EB10C1"/>
    <w:rsid w:val="00EB1D21"/>
    <w:rsid w:val="00EB2402"/>
    <w:rsid w:val="00EB279A"/>
    <w:rsid w:val="00EB3B0D"/>
    <w:rsid w:val="00EB3B36"/>
    <w:rsid w:val="00EB3B5F"/>
    <w:rsid w:val="00EB4A57"/>
    <w:rsid w:val="00EB52FD"/>
    <w:rsid w:val="00EB5384"/>
    <w:rsid w:val="00EB5DAF"/>
    <w:rsid w:val="00EB6190"/>
    <w:rsid w:val="00EB6BA5"/>
    <w:rsid w:val="00EB6EE4"/>
    <w:rsid w:val="00EB7571"/>
    <w:rsid w:val="00EB78BA"/>
    <w:rsid w:val="00EB7D4A"/>
    <w:rsid w:val="00EC1072"/>
    <w:rsid w:val="00EC1339"/>
    <w:rsid w:val="00EC1FCF"/>
    <w:rsid w:val="00EC29B8"/>
    <w:rsid w:val="00EC2BAA"/>
    <w:rsid w:val="00EC2DDC"/>
    <w:rsid w:val="00EC310E"/>
    <w:rsid w:val="00EC3C98"/>
    <w:rsid w:val="00EC3DEF"/>
    <w:rsid w:val="00EC4652"/>
    <w:rsid w:val="00EC533C"/>
    <w:rsid w:val="00EC5EBA"/>
    <w:rsid w:val="00EC67AE"/>
    <w:rsid w:val="00EC6BE5"/>
    <w:rsid w:val="00EC7713"/>
    <w:rsid w:val="00ED104F"/>
    <w:rsid w:val="00ED208C"/>
    <w:rsid w:val="00ED25A5"/>
    <w:rsid w:val="00ED28D8"/>
    <w:rsid w:val="00ED3424"/>
    <w:rsid w:val="00ED48AF"/>
    <w:rsid w:val="00ED4B55"/>
    <w:rsid w:val="00ED5AC6"/>
    <w:rsid w:val="00ED5E0B"/>
    <w:rsid w:val="00ED6BC4"/>
    <w:rsid w:val="00ED6EDA"/>
    <w:rsid w:val="00EE0340"/>
    <w:rsid w:val="00EE0F53"/>
    <w:rsid w:val="00EE16EB"/>
    <w:rsid w:val="00EE2985"/>
    <w:rsid w:val="00EE302A"/>
    <w:rsid w:val="00EE3B59"/>
    <w:rsid w:val="00EE409A"/>
    <w:rsid w:val="00EE488E"/>
    <w:rsid w:val="00EE4DB6"/>
    <w:rsid w:val="00EE549A"/>
    <w:rsid w:val="00EE5DB1"/>
    <w:rsid w:val="00EE5E39"/>
    <w:rsid w:val="00EE6E4F"/>
    <w:rsid w:val="00EE788C"/>
    <w:rsid w:val="00EE7F94"/>
    <w:rsid w:val="00EF37FB"/>
    <w:rsid w:val="00EF3B8C"/>
    <w:rsid w:val="00EF46DD"/>
    <w:rsid w:val="00EF591E"/>
    <w:rsid w:val="00EF6902"/>
    <w:rsid w:val="00EF70F3"/>
    <w:rsid w:val="00EF79BD"/>
    <w:rsid w:val="00EF7D5B"/>
    <w:rsid w:val="00F00736"/>
    <w:rsid w:val="00F007D1"/>
    <w:rsid w:val="00F01210"/>
    <w:rsid w:val="00F03C5B"/>
    <w:rsid w:val="00F04982"/>
    <w:rsid w:val="00F04FA2"/>
    <w:rsid w:val="00F07935"/>
    <w:rsid w:val="00F101DA"/>
    <w:rsid w:val="00F105FC"/>
    <w:rsid w:val="00F1082F"/>
    <w:rsid w:val="00F11ED4"/>
    <w:rsid w:val="00F12E52"/>
    <w:rsid w:val="00F140B1"/>
    <w:rsid w:val="00F151E8"/>
    <w:rsid w:val="00F1578E"/>
    <w:rsid w:val="00F15CC6"/>
    <w:rsid w:val="00F15EAC"/>
    <w:rsid w:val="00F15FAD"/>
    <w:rsid w:val="00F162EE"/>
    <w:rsid w:val="00F163C4"/>
    <w:rsid w:val="00F165DD"/>
    <w:rsid w:val="00F213AB"/>
    <w:rsid w:val="00F21402"/>
    <w:rsid w:val="00F218A6"/>
    <w:rsid w:val="00F2473C"/>
    <w:rsid w:val="00F24D7B"/>
    <w:rsid w:val="00F25EDE"/>
    <w:rsid w:val="00F2702C"/>
    <w:rsid w:val="00F27559"/>
    <w:rsid w:val="00F279D8"/>
    <w:rsid w:val="00F27B49"/>
    <w:rsid w:val="00F3054A"/>
    <w:rsid w:val="00F30DBF"/>
    <w:rsid w:val="00F31279"/>
    <w:rsid w:val="00F31F81"/>
    <w:rsid w:val="00F326DD"/>
    <w:rsid w:val="00F32D77"/>
    <w:rsid w:val="00F338A3"/>
    <w:rsid w:val="00F340D1"/>
    <w:rsid w:val="00F345BA"/>
    <w:rsid w:val="00F35910"/>
    <w:rsid w:val="00F3698B"/>
    <w:rsid w:val="00F40273"/>
    <w:rsid w:val="00F40544"/>
    <w:rsid w:val="00F413EB"/>
    <w:rsid w:val="00F41795"/>
    <w:rsid w:val="00F426D2"/>
    <w:rsid w:val="00F431D4"/>
    <w:rsid w:val="00F4334E"/>
    <w:rsid w:val="00F43590"/>
    <w:rsid w:val="00F44051"/>
    <w:rsid w:val="00F44790"/>
    <w:rsid w:val="00F44802"/>
    <w:rsid w:val="00F453E1"/>
    <w:rsid w:val="00F46E44"/>
    <w:rsid w:val="00F4728B"/>
    <w:rsid w:val="00F478D3"/>
    <w:rsid w:val="00F50483"/>
    <w:rsid w:val="00F50AC7"/>
    <w:rsid w:val="00F50E10"/>
    <w:rsid w:val="00F50E22"/>
    <w:rsid w:val="00F512BF"/>
    <w:rsid w:val="00F51C6A"/>
    <w:rsid w:val="00F51CEE"/>
    <w:rsid w:val="00F51CF8"/>
    <w:rsid w:val="00F535B4"/>
    <w:rsid w:val="00F5410A"/>
    <w:rsid w:val="00F54CA9"/>
    <w:rsid w:val="00F5542F"/>
    <w:rsid w:val="00F556A6"/>
    <w:rsid w:val="00F55BE2"/>
    <w:rsid w:val="00F56482"/>
    <w:rsid w:val="00F56581"/>
    <w:rsid w:val="00F5716A"/>
    <w:rsid w:val="00F6021F"/>
    <w:rsid w:val="00F60F87"/>
    <w:rsid w:val="00F613AD"/>
    <w:rsid w:val="00F61783"/>
    <w:rsid w:val="00F623B3"/>
    <w:rsid w:val="00F63161"/>
    <w:rsid w:val="00F6459F"/>
    <w:rsid w:val="00F64670"/>
    <w:rsid w:val="00F64895"/>
    <w:rsid w:val="00F65568"/>
    <w:rsid w:val="00F66D54"/>
    <w:rsid w:val="00F6740F"/>
    <w:rsid w:val="00F674DB"/>
    <w:rsid w:val="00F6798C"/>
    <w:rsid w:val="00F707D9"/>
    <w:rsid w:val="00F708FC"/>
    <w:rsid w:val="00F7391F"/>
    <w:rsid w:val="00F739BA"/>
    <w:rsid w:val="00F739E1"/>
    <w:rsid w:val="00F73D7F"/>
    <w:rsid w:val="00F751A1"/>
    <w:rsid w:val="00F75357"/>
    <w:rsid w:val="00F769FE"/>
    <w:rsid w:val="00F76B03"/>
    <w:rsid w:val="00F77B11"/>
    <w:rsid w:val="00F77B83"/>
    <w:rsid w:val="00F77D92"/>
    <w:rsid w:val="00F80290"/>
    <w:rsid w:val="00F8103C"/>
    <w:rsid w:val="00F81207"/>
    <w:rsid w:val="00F8126B"/>
    <w:rsid w:val="00F82D90"/>
    <w:rsid w:val="00F838FF"/>
    <w:rsid w:val="00F859C6"/>
    <w:rsid w:val="00F86013"/>
    <w:rsid w:val="00F864B8"/>
    <w:rsid w:val="00F86717"/>
    <w:rsid w:val="00F87C4E"/>
    <w:rsid w:val="00F87E9E"/>
    <w:rsid w:val="00F9045D"/>
    <w:rsid w:val="00F9156E"/>
    <w:rsid w:val="00F92542"/>
    <w:rsid w:val="00F93CE5"/>
    <w:rsid w:val="00F94113"/>
    <w:rsid w:val="00F94658"/>
    <w:rsid w:val="00F96E70"/>
    <w:rsid w:val="00F97BAC"/>
    <w:rsid w:val="00F97F2E"/>
    <w:rsid w:val="00FA004E"/>
    <w:rsid w:val="00FA07B8"/>
    <w:rsid w:val="00FA0808"/>
    <w:rsid w:val="00FA1593"/>
    <w:rsid w:val="00FA263F"/>
    <w:rsid w:val="00FA2B9C"/>
    <w:rsid w:val="00FA3842"/>
    <w:rsid w:val="00FA3BD1"/>
    <w:rsid w:val="00FA5232"/>
    <w:rsid w:val="00FA6B32"/>
    <w:rsid w:val="00FA7272"/>
    <w:rsid w:val="00FA78AB"/>
    <w:rsid w:val="00FB0432"/>
    <w:rsid w:val="00FB07DB"/>
    <w:rsid w:val="00FB1073"/>
    <w:rsid w:val="00FB18E6"/>
    <w:rsid w:val="00FB1B0B"/>
    <w:rsid w:val="00FB1E5D"/>
    <w:rsid w:val="00FB1F84"/>
    <w:rsid w:val="00FB24D6"/>
    <w:rsid w:val="00FB2635"/>
    <w:rsid w:val="00FB2DE1"/>
    <w:rsid w:val="00FB426B"/>
    <w:rsid w:val="00FB4764"/>
    <w:rsid w:val="00FB48CD"/>
    <w:rsid w:val="00FB4A0C"/>
    <w:rsid w:val="00FB58AE"/>
    <w:rsid w:val="00FB62DF"/>
    <w:rsid w:val="00FB756A"/>
    <w:rsid w:val="00FB7FD9"/>
    <w:rsid w:val="00FC009E"/>
    <w:rsid w:val="00FC04F3"/>
    <w:rsid w:val="00FC0936"/>
    <w:rsid w:val="00FC09B0"/>
    <w:rsid w:val="00FC09FB"/>
    <w:rsid w:val="00FC19DB"/>
    <w:rsid w:val="00FC28EA"/>
    <w:rsid w:val="00FC36E3"/>
    <w:rsid w:val="00FC3FF7"/>
    <w:rsid w:val="00FC46CC"/>
    <w:rsid w:val="00FC5225"/>
    <w:rsid w:val="00FC5EA8"/>
    <w:rsid w:val="00FC6446"/>
    <w:rsid w:val="00FC68BA"/>
    <w:rsid w:val="00FD0281"/>
    <w:rsid w:val="00FD03B5"/>
    <w:rsid w:val="00FD04C9"/>
    <w:rsid w:val="00FD0DD1"/>
    <w:rsid w:val="00FD108F"/>
    <w:rsid w:val="00FD1425"/>
    <w:rsid w:val="00FD1452"/>
    <w:rsid w:val="00FD2298"/>
    <w:rsid w:val="00FD3A63"/>
    <w:rsid w:val="00FD5FBE"/>
    <w:rsid w:val="00FD6CFD"/>
    <w:rsid w:val="00FD7074"/>
    <w:rsid w:val="00FD7AAC"/>
    <w:rsid w:val="00FD7C74"/>
    <w:rsid w:val="00FE004E"/>
    <w:rsid w:val="00FE05FE"/>
    <w:rsid w:val="00FE0AAE"/>
    <w:rsid w:val="00FE0D85"/>
    <w:rsid w:val="00FE1587"/>
    <w:rsid w:val="00FE2940"/>
    <w:rsid w:val="00FE2D83"/>
    <w:rsid w:val="00FE41FE"/>
    <w:rsid w:val="00FE4474"/>
    <w:rsid w:val="00FE464A"/>
    <w:rsid w:val="00FE4AF4"/>
    <w:rsid w:val="00FE6DCE"/>
    <w:rsid w:val="00FF0DCC"/>
    <w:rsid w:val="00FF2156"/>
    <w:rsid w:val="00FF2C2D"/>
    <w:rsid w:val="00FF37D1"/>
    <w:rsid w:val="00FF3976"/>
    <w:rsid w:val="00FF3C6D"/>
    <w:rsid w:val="00FF3DF7"/>
    <w:rsid w:val="00FF58C8"/>
    <w:rsid w:val="00FF5C56"/>
    <w:rsid w:val="00FF6326"/>
    <w:rsid w:val="00FF750D"/>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Puest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39"/>
    <w:rsid w:val="00D4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935168839506812550gmail-msolistparagraph">
    <w:name w:val="m_-935168839506812550gmail-msolistparagraph"/>
    <w:basedOn w:val="Normal"/>
    <w:rsid w:val="00FE41FE"/>
    <w:pPr>
      <w:spacing w:before="100" w:beforeAutospacing="1" w:after="100" w:afterAutospacing="1"/>
    </w:pPr>
  </w:style>
  <w:style w:type="paragraph" w:customStyle="1" w:styleId="p0">
    <w:name w:val="p0"/>
    <w:basedOn w:val="Normal"/>
    <w:rsid w:val="004D2674"/>
    <w:pPr>
      <w:keepLines/>
      <w:spacing w:before="240"/>
      <w:jc w:val="both"/>
    </w:pPr>
    <w:rPr>
      <w:rFonts w:ascii="Arial" w:hAnsi="Arial"/>
      <w:szCs w:val="20"/>
      <w:lang w:val="es-ES_tradnl" w:eastAsia="es-ES"/>
    </w:rPr>
  </w:style>
  <w:style w:type="paragraph" w:customStyle="1" w:styleId="p02">
    <w:name w:val="p02"/>
    <w:basedOn w:val="Normal"/>
    <w:next w:val="p0"/>
    <w:rsid w:val="004D2674"/>
    <w:pPr>
      <w:keepLines/>
      <w:spacing w:before="240"/>
      <w:ind w:right="11"/>
      <w:jc w:val="both"/>
    </w:pPr>
    <w:rPr>
      <w:rFonts w:ascii="Univers" w:hAnsi="Univers"/>
      <w:color w:val="0000FF"/>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317807163">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57264030">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93790917">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94002282">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79917815">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20883344">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34659188">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08403899">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698654386">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27529771">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37892727">
      <w:bodyDiv w:val="1"/>
      <w:marLeft w:val="0"/>
      <w:marRight w:val="0"/>
      <w:marTop w:val="0"/>
      <w:marBottom w:val="0"/>
      <w:divBdr>
        <w:top w:val="none" w:sz="0" w:space="0" w:color="auto"/>
        <w:left w:val="none" w:sz="0" w:space="0" w:color="auto"/>
        <w:bottom w:val="none" w:sz="0" w:space="0" w:color="auto"/>
        <w:right w:val="none" w:sz="0" w:space="0" w:color="auto"/>
      </w:divBdr>
    </w:div>
    <w:div w:id="1753089898">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918126389">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064792368">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ITAEE\II%20Trim-2020\Gr&#225;ficas_ITAEE_2do_T%20_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ITAEE\II%20Trim-2020\Gr&#225;ficas_Contribuci&#243;n_ITAEE_2do_T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0"/>
      <c:rotY val="10"/>
      <c:rAngAx val="1"/>
    </c:view3D>
    <c:floor>
      <c:thickness val="0"/>
      <c:spPr>
        <a:noFill/>
        <a:ln w="9525" cap="flat" cmpd="sng" algn="ctr">
          <a:solidFill>
            <a:schemeClr val="bg1">
              <a:lumMod val="50000"/>
            </a:schemeClr>
          </a:solidFill>
          <a:prstDash val="solid"/>
          <a:round/>
        </a:ln>
        <a:effectLst/>
        <a:sp3d contourW="9525">
          <a:contourClr>
            <a:schemeClr val="bg1">
              <a:lumMod val="50000"/>
            </a:schemeClr>
          </a:contourClr>
        </a:sp3d>
      </c:spPr>
    </c:floor>
    <c:sideWall>
      <c:thickness val="0"/>
      <c:spPr>
        <a:noFill/>
        <a:ln>
          <a:solidFill>
            <a:schemeClr val="bg1">
              <a:lumMod val="50000"/>
            </a:schemeClr>
          </a:solidFill>
        </a:ln>
        <a:effectLst/>
        <a:sp3d>
          <a:contourClr>
            <a:schemeClr val="bg1">
              <a:lumMod val="50000"/>
            </a:schemeClr>
          </a:contourClr>
        </a:sp3d>
      </c:spPr>
    </c:sideWall>
    <c:backWall>
      <c:thickness val="0"/>
      <c:spPr>
        <a:noFill/>
        <a:ln>
          <a:solidFill>
            <a:schemeClr val="bg1">
              <a:lumMod val="50000"/>
            </a:schemeClr>
          </a:solidFill>
        </a:ln>
        <a:effectLst/>
        <a:sp3d>
          <a:contourClr>
            <a:schemeClr val="bg1">
              <a:lumMod val="50000"/>
            </a:schemeClr>
          </a:contourClr>
        </a:sp3d>
      </c:spPr>
    </c:backWall>
    <c:plotArea>
      <c:layout>
        <c:manualLayout>
          <c:layoutTarget val="inner"/>
          <c:xMode val="edge"/>
          <c:yMode val="edge"/>
          <c:x val="0.38165295815295813"/>
          <c:y val="3.8766788766788768E-2"/>
          <c:w val="0.55954329004329006"/>
          <c:h val="0.90195526695526695"/>
        </c:manualLayout>
      </c:layout>
      <c:bar3DChart>
        <c:barDir val="bar"/>
        <c:grouping val="clustered"/>
        <c:varyColors val="0"/>
        <c:ser>
          <c:idx val="0"/>
          <c:order val="0"/>
          <c:tx>
            <c:v>Total</c:v>
          </c:tx>
          <c:spPr>
            <a:solidFill>
              <a:schemeClr val="accent1"/>
            </a:solidFill>
            <a:ln>
              <a:noFill/>
            </a:ln>
            <a:effectLst/>
            <a:sp3d/>
          </c:spPr>
          <c:invertIfNegative val="0"/>
          <c:dPt>
            <c:idx val="1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6517-41C7-8F51-0ABF23B1D980}"/>
              </c:ext>
            </c:extLst>
          </c:dPt>
          <c:dPt>
            <c:idx val="1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6517-41C7-8F51-0ABF23B1D980}"/>
              </c:ext>
            </c:extLst>
          </c:dPt>
          <c:dPt>
            <c:idx val="1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6517-41C7-8F51-0ABF23B1D980}"/>
              </c:ext>
            </c:extLst>
          </c:dPt>
          <c:dPt>
            <c:idx val="13"/>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7-6517-41C7-8F51-0ABF23B1D980}"/>
              </c:ext>
            </c:extLst>
          </c:dPt>
          <c:dPt>
            <c:idx val="14"/>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9-6517-41C7-8F51-0ABF23B1D980}"/>
              </c:ext>
            </c:extLst>
          </c:dPt>
          <c:dPt>
            <c:idx val="15"/>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B-6517-41C7-8F51-0ABF23B1D980}"/>
              </c:ext>
            </c:extLst>
          </c:dPt>
          <c:dPt>
            <c:idx val="16"/>
            <c:invertIfNegative val="0"/>
            <c:bubble3D val="0"/>
            <c:spPr>
              <a:solidFill>
                <a:schemeClr val="accent1">
                  <a:lumMod val="50000"/>
                </a:schemeClr>
              </a:solidFill>
              <a:ln>
                <a:noFill/>
              </a:ln>
              <a:effectLst>
                <a:outerShdw blurRad="50800" dist="50800" dir="5400000" algn="ctr" rotWithShape="0">
                  <a:schemeClr val="accent5">
                    <a:lumMod val="20000"/>
                    <a:lumOff val="80000"/>
                  </a:schemeClr>
                </a:outerShdw>
              </a:effectLst>
              <a:sp3d/>
            </c:spPr>
            <c:extLst xmlns:c16r2="http://schemas.microsoft.com/office/drawing/2015/06/chart">
              <c:ext xmlns:c16="http://schemas.microsoft.com/office/drawing/2014/chart" uri="{C3380CC4-5D6E-409C-BE32-E72D297353CC}">
                <c16:uniqueId val="{0000000D-6517-41C7-8F51-0ABF23B1D980}"/>
              </c:ext>
            </c:extLst>
          </c:dPt>
          <c:dPt>
            <c:idx val="17"/>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F-6517-41C7-8F51-0ABF23B1D980}"/>
              </c:ext>
            </c:extLst>
          </c:dPt>
          <c:dPt>
            <c:idx val="18"/>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11-6517-41C7-8F51-0ABF23B1D980}"/>
              </c:ext>
            </c:extLst>
          </c:dPt>
          <c:dPt>
            <c:idx val="19"/>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3-6517-41C7-8F51-0ABF23B1D980}"/>
              </c:ext>
            </c:extLst>
          </c:dPt>
          <c:dPt>
            <c:idx val="2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5-6517-41C7-8F51-0ABF23B1D980}"/>
              </c:ext>
            </c:extLst>
          </c:dPt>
          <c:dPt>
            <c:idx val="3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7-6517-41C7-8F51-0ABF23B1D980}"/>
              </c:ext>
            </c:extLst>
          </c:dPt>
          <c:dLbls>
            <c:dLbl>
              <c:idx val="0"/>
              <c:layout>
                <c:manualLayout>
                  <c:x val="-2.6895270154641562E-2"/>
                  <c:y val="9.9430839561640547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517-41C7-8F51-0ABF23B1D980}"/>
                </c:ext>
                <c:ext xmlns:c15="http://schemas.microsoft.com/office/drawing/2012/chart" uri="{CE6537A1-D6FC-4f65-9D91-7224C49458BB}"/>
              </c:extLst>
            </c:dLbl>
            <c:dLbl>
              <c:idx val="1"/>
              <c:layout>
                <c:manualLayout>
                  <c:x val="-1.831746031746031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517-41C7-8F51-0ABF23B1D980}"/>
                </c:ext>
                <c:ext xmlns:c15="http://schemas.microsoft.com/office/drawing/2012/chart" uri="{CE6537A1-D6FC-4f65-9D91-7224C49458BB}"/>
              </c:extLst>
            </c:dLbl>
            <c:dLbl>
              <c:idx val="2"/>
              <c:layout>
                <c:manualLayout>
                  <c:x val="-1.9783189033189034E-2"/>
                  <c:y val="-2.0179820179820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517-41C7-8F51-0ABF23B1D980}"/>
                </c:ext>
                <c:ext xmlns:c15="http://schemas.microsoft.com/office/drawing/2012/chart" uri="{CE6537A1-D6FC-4f65-9D91-7224C49458BB}"/>
              </c:extLst>
            </c:dLbl>
            <c:dLbl>
              <c:idx val="3"/>
              <c:layout>
                <c:manualLayout>
                  <c:x val="-1.9787518037517954E-2"/>
                  <c:y val="-2.01798201798214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517-41C7-8F51-0ABF23B1D980}"/>
                </c:ext>
                <c:ext xmlns:c15="http://schemas.microsoft.com/office/drawing/2012/chart" uri="{CE6537A1-D6FC-4f65-9D91-7224C49458BB}"/>
              </c:extLst>
            </c:dLbl>
            <c:dLbl>
              <c:idx val="4"/>
              <c:layout>
                <c:manualLayout>
                  <c:x val="-1.9786435786435786E-2"/>
                  <c:y val="-5.54223554223554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517-41C7-8F51-0ABF23B1D980}"/>
                </c:ext>
                <c:ext xmlns:c15="http://schemas.microsoft.com/office/drawing/2012/chart" uri="{CE6537A1-D6FC-4f65-9D91-7224C49458BB}"/>
              </c:extLst>
            </c:dLbl>
            <c:dLbl>
              <c:idx val="5"/>
              <c:layout>
                <c:manualLayout>
                  <c:x val="-1.831890331890331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517-41C7-8F51-0ABF23B1D980}"/>
                </c:ext>
                <c:ext xmlns:c15="http://schemas.microsoft.com/office/drawing/2012/chart" uri="{CE6537A1-D6FC-4f65-9D91-7224C49458BB}"/>
              </c:extLst>
            </c:dLbl>
            <c:dLbl>
              <c:idx val="6"/>
              <c:layout>
                <c:manualLayout>
                  <c:x val="-1.831746031746031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517-41C7-8F51-0ABF23B1D980}"/>
                </c:ext>
                <c:ext xmlns:c15="http://schemas.microsoft.com/office/drawing/2012/chart" uri="{CE6537A1-D6FC-4f65-9D91-7224C49458BB}"/>
              </c:extLst>
            </c:dLbl>
            <c:dLbl>
              <c:idx val="7"/>
              <c:layout>
                <c:manualLayout>
                  <c:x val="-2.977561327561327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517-41C7-8F51-0ABF23B1D980}"/>
                </c:ext>
                <c:ext xmlns:c15="http://schemas.microsoft.com/office/drawing/2012/chart" uri="{CE6537A1-D6FC-4f65-9D91-7224C49458BB}">
                  <c15:layout>
                    <c:manualLayout>
                      <c:w val="0.10232864357864357"/>
                      <c:h val="3.1348373848373849E-2"/>
                    </c:manualLayout>
                  </c15:layout>
                </c:ext>
              </c:extLst>
            </c:dLbl>
            <c:dLbl>
              <c:idx val="8"/>
              <c:layout>
                <c:manualLayout>
                  <c:x val="-2.290512265512265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517-41C7-8F51-0ABF23B1D980}"/>
                </c:ext>
                <c:ext xmlns:c15="http://schemas.microsoft.com/office/drawing/2012/chart" uri="{CE6537A1-D6FC-4f65-9D91-7224C49458BB}"/>
              </c:extLst>
            </c:dLbl>
            <c:dLbl>
              <c:idx val="9"/>
              <c:layout>
                <c:manualLayout>
                  <c:x val="-2.290512265512265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517-41C7-8F51-0ABF23B1D980}"/>
                </c:ext>
                <c:ext xmlns:c15="http://schemas.microsoft.com/office/drawing/2012/chart" uri="{CE6537A1-D6FC-4f65-9D91-7224C49458BB}"/>
              </c:extLst>
            </c:dLbl>
            <c:dLbl>
              <c:idx val="10"/>
              <c:layout>
                <c:manualLayout>
                  <c:x val="-2.9776695526695443E-2"/>
                  <c:y val="-3.524114774114774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17-41C7-8F51-0ABF23B1D980}"/>
                </c:ext>
                <c:ext xmlns:c15="http://schemas.microsoft.com/office/drawing/2012/chart" uri="{CE6537A1-D6FC-4f65-9D91-7224C49458BB}">
                  <c15:layout>
                    <c:manualLayout>
                      <c:w val="0.10691017316017316"/>
                      <c:h val="3.487262737262737E-2"/>
                    </c:manualLayout>
                  </c15:layout>
                </c:ext>
              </c:extLst>
            </c:dLbl>
            <c:dLbl>
              <c:idx val="11"/>
              <c:layout>
                <c:manualLayout>
                  <c:x val="-2.290548340548340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517-41C7-8F51-0ABF23B1D980}"/>
                </c:ext>
                <c:ext xmlns:c15="http://schemas.microsoft.com/office/drawing/2012/chart" uri="{CE6537A1-D6FC-4f65-9D91-7224C49458BB}"/>
              </c:extLst>
            </c:dLbl>
            <c:dLbl>
              <c:idx val="1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517-41C7-8F51-0ABF23B1D980}"/>
                </c:ext>
                <c:ext xmlns:c15="http://schemas.microsoft.com/office/drawing/2012/chart" uri="{CE6537A1-D6FC-4f65-9D91-7224C49458BB}"/>
              </c:extLst>
            </c:dLbl>
            <c:dLbl>
              <c:idx val="13"/>
              <c:layout>
                <c:manualLayout>
                  <c:x val="-2.290692640692632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517-41C7-8F51-0ABF23B1D980}"/>
                </c:ext>
                <c:ext xmlns:c15="http://schemas.microsoft.com/office/drawing/2012/chart" uri="{CE6537A1-D6FC-4f65-9D91-7224C49458BB}"/>
              </c:extLst>
            </c:dLbl>
            <c:dLbl>
              <c:idx val="14"/>
              <c:layout>
                <c:manualLayout>
                  <c:x val="-2.290728715728715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517-41C7-8F51-0ABF23B1D980}"/>
                </c:ext>
                <c:ext xmlns:c15="http://schemas.microsoft.com/office/drawing/2012/chart" uri="{CE6537A1-D6FC-4f65-9D91-7224C49458BB}"/>
              </c:extLst>
            </c:dLbl>
            <c:dLbl>
              <c:idx val="15"/>
              <c:layout>
                <c:manualLayout>
                  <c:x val="-2.290656565656565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517-41C7-8F51-0ABF23B1D980}"/>
                </c:ext>
                <c:ext xmlns:c15="http://schemas.microsoft.com/office/drawing/2012/chart" uri="{CE6537A1-D6FC-4f65-9D91-7224C49458BB}"/>
              </c:extLst>
            </c:dLbl>
            <c:dLbl>
              <c:idx val="16"/>
              <c:layout>
                <c:manualLayout>
                  <c:x val="-2.290728715728715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517-41C7-8F51-0ABF23B1D980}"/>
                </c:ext>
                <c:ext xmlns:c15="http://schemas.microsoft.com/office/drawing/2012/chart" uri="{CE6537A1-D6FC-4f65-9D91-7224C49458BB}"/>
              </c:extLst>
            </c:dLbl>
            <c:dLbl>
              <c:idx val="17"/>
              <c:layout>
                <c:manualLayout>
                  <c:x val="-1.832359307359307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517-41C7-8F51-0ABF23B1D980}"/>
                </c:ext>
                <c:ext xmlns:c15="http://schemas.microsoft.com/office/drawing/2012/chart" uri="{CE6537A1-D6FC-4f65-9D91-7224C49458BB}"/>
              </c:extLst>
            </c:dLbl>
            <c:dLbl>
              <c:idx val="18"/>
              <c:layout>
                <c:manualLayout>
                  <c:x val="-1.8323953823953739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517-41C7-8F51-0ABF23B1D980}"/>
                </c:ext>
                <c:ext xmlns:c15="http://schemas.microsoft.com/office/drawing/2012/chart" uri="{CE6537A1-D6FC-4f65-9D91-7224C49458BB}"/>
              </c:extLst>
            </c:dLbl>
            <c:dLbl>
              <c:idx val="19"/>
              <c:layout>
                <c:manualLayout>
                  <c:x val="-2.2905122655122571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517-41C7-8F51-0ABF23B1D980}"/>
                </c:ext>
                <c:ext xmlns:c15="http://schemas.microsoft.com/office/drawing/2012/chart" uri="{CE6537A1-D6FC-4f65-9D91-7224C49458BB}"/>
              </c:extLst>
            </c:dLbl>
            <c:dLbl>
              <c:idx val="20"/>
              <c:layout>
                <c:manualLayout>
                  <c:x val="-2.290331890331881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517-41C7-8F51-0ABF23B1D980}"/>
                </c:ext>
                <c:ext xmlns:c15="http://schemas.microsoft.com/office/drawing/2012/chart" uri="{CE6537A1-D6FC-4f65-9D91-7224C49458BB}"/>
              </c:extLst>
            </c:dLbl>
            <c:dLbl>
              <c:idx val="21"/>
              <c:layout>
                <c:manualLayout>
                  <c:x val="-2.290548340548340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517-41C7-8F51-0ABF23B1D980}"/>
                </c:ext>
                <c:ext xmlns:c15="http://schemas.microsoft.com/office/drawing/2012/chart" uri="{CE6537A1-D6FC-4f65-9D91-7224C49458BB}"/>
              </c:extLst>
            </c:dLbl>
            <c:dLbl>
              <c:idx val="2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517-41C7-8F51-0ABF23B1D980}"/>
                </c:ext>
                <c:ext xmlns:c15="http://schemas.microsoft.com/office/drawing/2012/chart" uri="{CE6537A1-D6FC-4f65-9D91-7224C49458BB}"/>
              </c:extLst>
            </c:dLbl>
            <c:dLbl>
              <c:idx val="23"/>
              <c:layout>
                <c:manualLayout>
                  <c:x val="-1.832539682539682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517-41C7-8F51-0ABF23B1D980}"/>
                </c:ext>
                <c:ext xmlns:c15="http://schemas.microsoft.com/office/drawing/2012/chart" uri="{CE6537A1-D6FC-4f65-9D91-7224C49458BB}"/>
              </c:extLst>
            </c:dLbl>
            <c:dLbl>
              <c:idx val="24"/>
              <c:layout>
                <c:manualLayout>
                  <c:x val="-2.2906926406926407E-2"/>
                  <c:y val="-3.52425352425355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517-41C7-8F51-0ABF23B1D980}"/>
                </c:ext>
                <c:ext xmlns:c15="http://schemas.microsoft.com/office/drawing/2012/chart" uri="{CE6537A1-D6FC-4f65-9D91-7224C49458BB}"/>
              </c:extLst>
            </c:dLbl>
            <c:dLbl>
              <c:idx val="25"/>
              <c:layout>
                <c:manualLayout>
                  <c:x val="-2.290620490620490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517-41C7-8F51-0ABF23B1D980}"/>
                </c:ext>
                <c:ext xmlns:c15="http://schemas.microsoft.com/office/drawing/2012/chart" uri="{CE6537A1-D6FC-4f65-9D91-7224C49458BB}"/>
              </c:extLst>
            </c:dLbl>
            <c:dLbl>
              <c:idx val="26"/>
              <c:layout>
                <c:manualLayout>
                  <c:x val="-2.290692640692640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517-41C7-8F51-0ABF23B1D980}"/>
                </c:ext>
                <c:ext xmlns:c15="http://schemas.microsoft.com/office/drawing/2012/chart" uri="{CE6537A1-D6FC-4f65-9D91-7224C49458BB}"/>
              </c:extLst>
            </c:dLbl>
            <c:dLbl>
              <c:idx val="27"/>
              <c:layout>
                <c:manualLayout>
                  <c:x val="-2.29065656565657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517-41C7-8F51-0ABF23B1D980}"/>
                </c:ext>
                <c:ext xmlns:c15="http://schemas.microsoft.com/office/drawing/2012/chart" uri="{CE6537A1-D6FC-4f65-9D91-7224C49458BB}"/>
              </c:extLst>
            </c:dLbl>
            <c:dLbl>
              <c:idx val="28"/>
              <c:layout>
                <c:manualLayout>
                  <c:x val="-2.290728715728707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517-41C7-8F51-0ABF23B1D980}"/>
                </c:ext>
                <c:ext xmlns:c15="http://schemas.microsoft.com/office/drawing/2012/chart" uri="{CE6537A1-D6FC-4f65-9D91-7224C49458BB}"/>
              </c:extLst>
            </c:dLbl>
            <c:dLbl>
              <c:idx val="29"/>
              <c:layout>
                <c:manualLayout>
                  <c:x val="-2.2907287157287241E-2"/>
                  <c:y val="-3.52425352425354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517-41C7-8F51-0ABF23B1D980}"/>
                </c:ext>
                <c:ext xmlns:c15="http://schemas.microsoft.com/office/drawing/2012/chart" uri="{CE6537A1-D6FC-4f65-9D91-7224C49458BB}"/>
              </c:extLst>
            </c:dLbl>
            <c:dLbl>
              <c:idx val="30"/>
              <c:layout>
                <c:manualLayout>
                  <c:x val="-1.832539682539690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6517-41C7-8F51-0ABF23B1D980}"/>
                </c:ext>
                <c:ext xmlns:c15="http://schemas.microsoft.com/office/drawing/2012/chart" uri="{CE6537A1-D6FC-4f65-9D91-7224C49458BB}"/>
              </c:extLst>
            </c:dLbl>
            <c:dLbl>
              <c:idx val="31"/>
              <c:layout>
                <c:manualLayout>
                  <c:x val="-2.2905844155844155E-2"/>
                  <c:y val="-3.52425352425354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6517-41C7-8F51-0ABF23B1D980}"/>
                </c:ext>
                <c:ext xmlns:c15="http://schemas.microsoft.com/office/drawing/2012/chart" uri="{CE6537A1-D6FC-4f65-9D91-7224C49458BB}"/>
              </c:extLst>
            </c:dLbl>
            <c:dLbl>
              <c:idx val="32"/>
              <c:layout>
                <c:manualLayout>
                  <c:x val="-2.748917748917749E-2"/>
                  <c:y val="-2.01825951825951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517-41C7-8F51-0ABF23B1D980}"/>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'Variaciones por EF'!$B$6:$B$38</c:f>
              <c:strCache>
                <c:ptCount val="33"/>
                <c:pt idx="0">
                  <c:v>Tabasco</c:v>
                </c:pt>
                <c:pt idx="1">
                  <c:v>Campeche</c:v>
                </c:pt>
                <c:pt idx="2">
                  <c:v>Chiapas</c:v>
                </c:pt>
                <c:pt idx="3">
                  <c:v>Michoacán de Ocampo</c:v>
                </c:pt>
                <c:pt idx="4">
                  <c:v>Colima</c:v>
                </c:pt>
                <c:pt idx="5">
                  <c:v>Sonora</c:v>
                </c:pt>
                <c:pt idx="6">
                  <c:v>Sinaloa</c:v>
                </c:pt>
                <c:pt idx="7">
                  <c:v>Durango</c:v>
                </c:pt>
                <c:pt idx="8">
                  <c:v>Jalisco</c:v>
                </c:pt>
                <c:pt idx="9">
                  <c:v>Tamaulipas</c:v>
                </c:pt>
                <c:pt idx="10">
                  <c:v>Veracruz de Ignacio de la Llave</c:v>
                </c:pt>
                <c:pt idx="11">
                  <c:v>Ciudad de México</c:v>
                </c:pt>
                <c:pt idx="12">
                  <c:v>Chihuahua</c:v>
                </c:pt>
                <c:pt idx="13">
                  <c:v>México</c:v>
                </c:pt>
                <c:pt idx="14">
                  <c:v>Oaxaca</c:v>
                </c:pt>
                <c:pt idx="15">
                  <c:v>Yucatán</c:v>
                </c:pt>
                <c:pt idx="16">
                  <c:v>Nacional</c:v>
                </c:pt>
                <c:pt idx="17">
                  <c:v>Hidalgo</c:v>
                </c:pt>
                <c:pt idx="18">
                  <c:v>Baja California</c:v>
                </c:pt>
                <c:pt idx="19">
                  <c:v>Zacatecas</c:v>
                </c:pt>
                <c:pt idx="20">
                  <c:v>Nuevo León</c:v>
                </c:pt>
                <c:pt idx="21">
                  <c:v>Guerrero</c:v>
                </c:pt>
                <c:pt idx="22">
                  <c:v>San Luis Potosí</c:v>
                </c:pt>
                <c:pt idx="23">
                  <c:v>Guanajuato</c:v>
                </c:pt>
                <c:pt idx="24">
                  <c:v>Tlaxcala</c:v>
                </c:pt>
                <c:pt idx="25">
                  <c:v>Querétaro</c:v>
                </c:pt>
                <c:pt idx="26">
                  <c:v>Nayarit</c:v>
                </c:pt>
                <c:pt idx="27">
                  <c:v>Aguascalientes</c:v>
                </c:pt>
                <c:pt idx="28">
                  <c:v>Morelos</c:v>
                </c:pt>
                <c:pt idx="29">
                  <c:v>Coahuila de Zaragoza</c:v>
                </c:pt>
                <c:pt idx="30">
                  <c:v>Puebla</c:v>
                </c:pt>
                <c:pt idx="31">
                  <c:v>Quintana Roo</c:v>
                </c:pt>
                <c:pt idx="32">
                  <c:v>Baja California Sur</c:v>
                </c:pt>
              </c:strCache>
            </c:strRef>
          </c:cat>
          <c:val>
            <c:numRef>
              <c:f>'Variaciones por EF'!$C$6:$C$38</c:f>
              <c:numCache>
                <c:formatCode>0.00</c:formatCode>
                <c:ptCount val="33"/>
                <c:pt idx="0">
                  <c:v>1.22233510058727</c:v>
                </c:pt>
                <c:pt idx="1">
                  <c:v>-9.5929379232899947</c:v>
                </c:pt>
                <c:pt idx="2">
                  <c:v>-12.441434259269684</c:v>
                </c:pt>
                <c:pt idx="3">
                  <c:v>-13.999808471171988</c:v>
                </c:pt>
                <c:pt idx="4">
                  <c:v>-14.041207049831854</c:v>
                </c:pt>
                <c:pt idx="5">
                  <c:v>-14.554575480444925</c:v>
                </c:pt>
                <c:pt idx="6">
                  <c:v>-15.439496048519274</c:v>
                </c:pt>
                <c:pt idx="7">
                  <c:v>-15.856316756983603</c:v>
                </c:pt>
                <c:pt idx="8">
                  <c:v>-16.078731223643928</c:v>
                </c:pt>
                <c:pt idx="9">
                  <c:v>-16.152108805539427</c:v>
                </c:pt>
                <c:pt idx="10">
                  <c:v>-16.455747437458982</c:v>
                </c:pt>
                <c:pt idx="11">
                  <c:v>-16.585139468118143</c:v>
                </c:pt>
                <c:pt idx="12">
                  <c:v>-17.038671710884429</c:v>
                </c:pt>
                <c:pt idx="13">
                  <c:v>-17.074480348337133</c:v>
                </c:pt>
                <c:pt idx="14">
                  <c:v>-17.269175831278943</c:v>
                </c:pt>
                <c:pt idx="15">
                  <c:v>-17.32871780383482</c:v>
                </c:pt>
                <c:pt idx="16">
                  <c:v>-18.52918995426009</c:v>
                </c:pt>
                <c:pt idx="17">
                  <c:v>-18.599654815559148</c:v>
                </c:pt>
                <c:pt idx="18">
                  <c:v>-18.617090772432348</c:v>
                </c:pt>
                <c:pt idx="19">
                  <c:v>-20.065151697918708</c:v>
                </c:pt>
                <c:pt idx="20">
                  <c:v>-21.917392117466349</c:v>
                </c:pt>
                <c:pt idx="21">
                  <c:v>-21.992052259319692</c:v>
                </c:pt>
                <c:pt idx="22">
                  <c:v>-22.376952730588314</c:v>
                </c:pt>
                <c:pt idx="23">
                  <c:v>-22.525863207077478</c:v>
                </c:pt>
                <c:pt idx="24">
                  <c:v>-22.629336837168012</c:v>
                </c:pt>
                <c:pt idx="25">
                  <c:v>-23.060710541516855</c:v>
                </c:pt>
                <c:pt idx="26">
                  <c:v>-23.204495166873144</c:v>
                </c:pt>
                <c:pt idx="27">
                  <c:v>-23.37317038328105</c:v>
                </c:pt>
                <c:pt idx="28">
                  <c:v>-23.612343022366687</c:v>
                </c:pt>
                <c:pt idx="29">
                  <c:v>-26.213677462106958</c:v>
                </c:pt>
                <c:pt idx="30">
                  <c:v>-29.276932239490975</c:v>
                </c:pt>
                <c:pt idx="31">
                  <c:v>-40.581794536366836</c:v>
                </c:pt>
                <c:pt idx="32">
                  <c:v>-42.425655668482264</c:v>
                </c:pt>
              </c:numCache>
            </c:numRef>
          </c:val>
          <c:extLst xmlns:c16r2="http://schemas.microsoft.com/office/drawing/2015/06/chart">
            <c:ext xmlns:c16="http://schemas.microsoft.com/office/drawing/2014/chart" uri="{C3380CC4-5D6E-409C-BE32-E72D297353CC}">
              <c16:uniqueId val="{0000002D-6517-41C7-8F51-0ABF23B1D980}"/>
            </c:ext>
          </c:extLst>
        </c:ser>
        <c:dLbls>
          <c:showLegendKey val="0"/>
          <c:showVal val="0"/>
          <c:showCatName val="0"/>
          <c:showSerName val="0"/>
          <c:showPercent val="0"/>
          <c:showBubbleSize val="0"/>
        </c:dLbls>
        <c:gapWidth val="50"/>
        <c:shape val="cylinder"/>
        <c:axId val="-105792512"/>
        <c:axId val="-105799584"/>
        <c:axId val="0"/>
      </c:bar3DChart>
      <c:catAx>
        <c:axId val="-105792512"/>
        <c:scaling>
          <c:orientation val="minMax"/>
        </c:scaling>
        <c:delete val="0"/>
        <c:axPos val="l"/>
        <c:numFmt formatCode="General" sourceLinked="0"/>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0" b="0" i="0" u="none" strike="noStrike" kern="1200" baseline="0">
                <a:solidFill>
                  <a:schemeClr val="tx1"/>
                </a:solidFill>
                <a:latin typeface="Arial" pitchFamily="34" charset="0"/>
                <a:ea typeface="+mn-ea"/>
                <a:cs typeface="Arial" pitchFamily="34" charset="0"/>
              </a:defRPr>
            </a:pPr>
            <a:endParaRPr lang="es-MX"/>
          </a:p>
        </c:txPr>
        <c:crossAx val="-105799584"/>
        <c:crossesAt val="0"/>
        <c:auto val="1"/>
        <c:lblAlgn val="ctr"/>
        <c:lblOffset val="100"/>
        <c:noMultiLvlLbl val="0"/>
      </c:catAx>
      <c:valAx>
        <c:axId val="-105799584"/>
        <c:scaling>
          <c:orientation val="minMax"/>
          <c:max val="15"/>
          <c:min val="-60"/>
        </c:scaling>
        <c:delete val="0"/>
        <c:axPos val="b"/>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crossAx val="-105792512"/>
        <c:crosses val="autoZero"/>
        <c:crossBetween val="between"/>
        <c:majorUnit val="15"/>
        <c:minorUnit val="1"/>
      </c:valAx>
      <c:spPr>
        <a:noFill/>
        <a:ln>
          <a:noFill/>
        </a:ln>
        <a:effectLst>
          <a:outerShdw blurRad="50800" dist="12700" dir="5400000" algn="ctr" rotWithShape="0">
            <a:schemeClr val="bg1"/>
          </a:outerShdw>
        </a:effectLst>
      </c:spPr>
    </c:plotArea>
    <c:plotVisOnly val="1"/>
    <c:dispBlanksAs val="gap"/>
    <c:showDLblsOverMax val="0"/>
  </c:chart>
  <c:spPr>
    <a:noFill/>
    <a:ln w="9525" cap="flat" cmpd="sng" algn="ctr">
      <a:solidFill>
        <a:schemeClr val="tx1">
          <a:tint val="75000"/>
          <a:shade val="95000"/>
          <a:satMod val="105000"/>
        </a:schemeClr>
      </a:solidFill>
      <a:prstDash val="solid"/>
      <a:round/>
    </a:ln>
    <a:effectLst>
      <a:outerShdw blurRad="50800" dist="12700" dir="5400000" algn="ctr" rotWithShape="0">
        <a:schemeClr val="tx1"/>
      </a:outerShdw>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ln>
          <a:solidFill>
            <a:prstClr val="black"/>
          </a:solidFill>
        </a:ln>
      </c:spPr>
    </c:floor>
    <c:sideWall>
      <c:thickness val="0"/>
      <c:spPr>
        <a:ln>
          <a:solidFill>
            <a:schemeClr val="tx1"/>
          </a:solidFill>
        </a:ln>
      </c:spPr>
    </c:sideWall>
    <c:backWall>
      <c:thickness val="0"/>
      <c:spPr>
        <a:ln>
          <a:solidFill>
            <a:schemeClr val="tx1"/>
          </a:solidFill>
        </a:ln>
      </c:spPr>
    </c:backWall>
    <c:plotArea>
      <c:layout>
        <c:manualLayout>
          <c:layoutTarget val="inner"/>
          <c:xMode val="edge"/>
          <c:yMode val="edge"/>
          <c:x val="0.25571990606887252"/>
          <c:y val="2.6248914112154062E-2"/>
          <c:w val="0.7110656007115187"/>
          <c:h val="0.90685324011126556"/>
        </c:manualLayout>
      </c:layout>
      <c:bar3DChart>
        <c:barDir val="bar"/>
        <c:grouping val="stacked"/>
        <c:varyColors val="0"/>
        <c:ser>
          <c:idx val="0"/>
          <c:order val="0"/>
          <c:invertIfNegative val="0"/>
          <c:dLbls>
            <c:dLbl>
              <c:idx val="0"/>
              <c:layout>
                <c:manualLayout>
                  <c:x val="5.1937950937950769E-2"/>
                  <c:y val="-2.99422799422812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89-4F20-88FF-FCD58169F18E}"/>
                </c:ext>
                <c:ext xmlns:c15="http://schemas.microsoft.com/office/drawing/2012/chart" uri="{CE6537A1-D6FC-4f65-9D91-7224C49458BB}"/>
              </c:extLst>
            </c:dLbl>
            <c:dLbl>
              <c:idx val="1"/>
              <c:layout>
                <c:manualLayout>
                  <c:x val="-4.1535714285714287E-2"/>
                  <c:y val="5.291930291930292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B89-4F20-88FF-FCD58169F18E}"/>
                </c:ext>
                <c:ext xmlns:c15="http://schemas.microsoft.com/office/drawing/2012/chart" uri="{CE6537A1-D6FC-4f65-9D91-7224C49458BB}"/>
              </c:extLst>
            </c:dLbl>
            <c:dLbl>
              <c:idx val="2"/>
              <c:layout>
                <c:manualLayout>
                  <c:x val="-4.6304473304473306E-2"/>
                  <c:y val="5.286380286381578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89-4F20-88FF-FCD58169F18E}"/>
                </c:ext>
                <c:ext xmlns:c15="http://schemas.microsoft.com/office/drawing/2012/chart" uri="{CE6537A1-D6FC-4f65-9D91-7224C49458BB}"/>
              </c:extLst>
            </c:dLbl>
            <c:dLbl>
              <c:idx val="3"/>
              <c:layout>
                <c:manualLayout>
                  <c:x val="-4.8146103896103895E-2"/>
                  <c:y val="2.03934953934953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B89-4F20-88FF-FCD58169F18E}"/>
                </c:ext>
                <c:ext xmlns:c15="http://schemas.microsoft.com/office/drawing/2012/chart" uri="{CE6537A1-D6FC-4f65-9D91-7224C49458BB}"/>
              </c:extLst>
            </c:dLbl>
            <c:dLbl>
              <c:idx val="4"/>
              <c:layout>
                <c:manualLayout>
                  <c:x val="-4.7879509379509383E-2"/>
                  <c:y val="2.54329004329004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B89-4F20-88FF-FCD58169F18E}"/>
                </c:ext>
                <c:ext xmlns:c15="http://schemas.microsoft.com/office/drawing/2012/chart" uri="{CE6537A1-D6FC-4f65-9D91-7224C49458BB}">
                  <c15:layout>
                    <c:manualLayout>
                      <c:w val="0.10386327561327562"/>
                      <c:h val="2.7824120324120325E-2"/>
                    </c:manualLayout>
                  </c15:layout>
                </c:ext>
              </c:extLst>
            </c:dLbl>
            <c:dLbl>
              <c:idx val="5"/>
              <c:layout>
                <c:manualLayout>
                  <c:x val="-5.201010101010118E-2"/>
                  <c:y val="2.28604728604741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B89-4F20-88FF-FCD58169F18E}"/>
                </c:ext>
                <c:ext xmlns:c15="http://schemas.microsoft.com/office/drawing/2012/chart" uri="{CE6537A1-D6FC-4f65-9D91-7224C49458BB}">
                  <c15:layout>
                    <c:manualLayout>
                      <c:w val="0.10844480519480519"/>
                      <c:h val="3.1348373848373849E-2"/>
                    </c:manualLayout>
                  </c15:layout>
                </c:ext>
              </c:extLst>
            </c:dLbl>
            <c:dLbl>
              <c:idx val="6"/>
              <c:layout>
                <c:manualLayout>
                  <c:x val="-5.4806277056277053E-2"/>
                  <c:y val="5.55194805194805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B89-4F20-88FF-FCD58169F18E}"/>
                </c:ext>
                <c:ext xmlns:c15="http://schemas.microsoft.com/office/drawing/2012/chart" uri="{CE6537A1-D6FC-4f65-9D91-7224C49458BB}"/>
              </c:extLst>
            </c:dLbl>
            <c:dLbl>
              <c:idx val="7"/>
              <c:layout>
                <c:manualLayout>
                  <c:x val="-5.3155844155844158E-2"/>
                  <c:y val="7.05794205794205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B89-4F20-88FF-FCD58169F18E}"/>
                </c:ext>
                <c:ext xmlns:c15="http://schemas.microsoft.com/office/drawing/2012/chart" uri="{CE6537A1-D6FC-4f65-9D91-7224C49458BB}"/>
              </c:extLst>
            </c:dLbl>
            <c:dLbl>
              <c:idx val="8"/>
              <c:layout>
                <c:manualLayout>
                  <c:x val="-5.2703102453102453E-2"/>
                  <c:y val="7.0572483072483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B89-4F20-88FF-FCD58169F18E}"/>
                </c:ext>
                <c:ext xmlns:c15="http://schemas.microsoft.com/office/drawing/2012/chart" uri="{CE6537A1-D6FC-4f65-9D91-7224C49458BB}">
                  <c15:layout>
                    <c:manualLayout>
                      <c:w val="0.10386327561327562"/>
                      <c:h val="3.487262737262737E-2"/>
                    </c:manualLayout>
                  </c15:layout>
                </c:ext>
              </c:extLst>
            </c:dLbl>
            <c:dLbl>
              <c:idx val="9"/>
              <c:layout>
                <c:manualLayout>
                  <c:x val="-5.6664862914863001E-2"/>
                  <c:y val="5.03552003552016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B89-4F20-88FF-FCD58169F18E}"/>
                </c:ext>
                <c:ext xmlns:c15="http://schemas.microsoft.com/office/drawing/2012/chart" uri="{CE6537A1-D6FC-4f65-9D91-7224C49458BB}"/>
              </c:extLst>
            </c:dLbl>
            <c:dLbl>
              <c:idx val="10"/>
              <c:layout>
                <c:manualLayout>
                  <c:x val="-5.3734487734487732E-2"/>
                  <c:y val="5.03357753357753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B89-4F20-88FF-FCD58169F18E}"/>
                </c:ext>
                <c:ext xmlns:c15="http://schemas.microsoft.com/office/drawing/2012/chart" uri="{CE6537A1-D6FC-4f65-9D91-7224C49458BB}"/>
              </c:extLst>
            </c:dLbl>
            <c:dLbl>
              <c:idx val="11"/>
              <c:layout>
                <c:manualLayout>
                  <c:x val="-5.3734126984126981E-2"/>
                  <c:y val="3.5273060273060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B89-4F20-88FF-FCD58169F18E}"/>
                </c:ext>
                <c:ext xmlns:c15="http://schemas.microsoft.com/office/drawing/2012/chart" uri="{CE6537A1-D6FC-4f65-9D91-7224C49458BB}"/>
              </c:extLst>
            </c:dLbl>
            <c:dLbl>
              <c:idx val="12"/>
              <c:layout>
                <c:manualLayout>
                  <c:x val="-5.68531746031746E-2"/>
                  <c:y val="5.03135753135759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B89-4F20-88FF-FCD58169F18E}"/>
                </c:ext>
                <c:ext xmlns:c15="http://schemas.microsoft.com/office/drawing/2012/chart" uri="{CE6537A1-D6FC-4f65-9D91-7224C49458BB}"/>
              </c:extLst>
            </c:dLbl>
            <c:dLbl>
              <c:idx val="13"/>
              <c:layout>
                <c:manualLayout>
                  <c:x val="-5.8504689754689754E-2"/>
                  <c:y val="3.52647352647352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B89-4F20-88FF-FCD58169F18E}"/>
                </c:ext>
                <c:ext xmlns:c15="http://schemas.microsoft.com/office/drawing/2012/chart" uri="{CE6537A1-D6FC-4f65-9D91-7224C49458BB}"/>
              </c:extLst>
            </c:dLbl>
            <c:dLbl>
              <c:idx val="14"/>
              <c:layout>
                <c:manualLayout>
                  <c:x val="-5.5947330447330364E-2"/>
                  <c:y val="3.5273060273060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B89-4F20-88FF-FCD58169F18E}"/>
                </c:ext>
                <c:ext xmlns:c15="http://schemas.microsoft.com/office/drawing/2012/chart" uri="{CE6537A1-D6FC-4f65-9D91-7224C49458BB}"/>
              </c:extLst>
            </c:dLbl>
            <c:dLbl>
              <c:idx val="15"/>
              <c:layout>
                <c:manualLayout>
                  <c:x val="-5.7603535353535351E-2"/>
                  <c:y val="5.54501054501060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B89-4F20-88FF-FCD58169F18E}"/>
                </c:ext>
                <c:ext xmlns:c15="http://schemas.microsoft.com/office/drawing/2012/chart" uri="{CE6537A1-D6FC-4f65-9D91-7224C49458BB}"/>
              </c:extLst>
            </c:dLbl>
            <c:dLbl>
              <c:idx val="16"/>
              <c:layout>
                <c:manualLayout>
                  <c:x val="-5.7603896103896185E-2"/>
                  <c:y val="3.52758352758352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B89-4F20-88FF-FCD58169F18E}"/>
                </c:ext>
                <c:ext xmlns:c15="http://schemas.microsoft.com/office/drawing/2012/chart" uri="{CE6537A1-D6FC-4f65-9D91-7224C49458BB}"/>
              </c:extLst>
            </c:dLbl>
            <c:dLbl>
              <c:idx val="17"/>
              <c:layout>
                <c:manualLayout>
                  <c:x val="-6.2375541125541126E-2"/>
                  <c:y val="3.52786102786102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B89-4F20-88FF-FCD58169F18E}"/>
                </c:ext>
                <c:ext xmlns:c15="http://schemas.microsoft.com/office/drawing/2012/chart" uri="{CE6537A1-D6FC-4f65-9D91-7224C49458BB}"/>
              </c:extLst>
            </c:dLbl>
            <c:dLbl>
              <c:idx val="18"/>
              <c:layout>
                <c:manualLayout>
                  <c:x val="-6.091161616161616E-2"/>
                  <c:y val="3.52702852702852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B89-4F20-88FF-FCD58169F18E}"/>
                </c:ext>
                <c:ext xmlns:c15="http://schemas.microsoft.com/office/drawing/2012/chart" uri="{CE6537A1-D6FC-4f65-9D91-7224C49458BB}"/>
              </c:extLst>
            </c:dLbl>
            <c:dLbl>
              <c:idx val="19"/>
              <c:layout>
                <c:manualLayout>
                  <c:x val="-6.1659812409812408E-2"/>
                  <c:y val="3.5253635253635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B89-4F20-88FF-FCD58169F18E}"/>
                </c:ext>
                <c:ext xmlns:c15="http://schemas.microsoft.com/office/drawing/2012/chart" uri="{CE6537A1-D6FC-4f65-9D91-7224C49458BB}"/>
              </c:extLst>
            </c:dLbl>
            <c:dLbl>
              <c:idx val="20"/>
              <c:layout>
                <c:manualLayout>
                  <c:x val="-6.1845959595959593E-2"/>
                  <c:y val="2.22000222000222E-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B89-4F20-88FF-FCD58169F18E}"/>
                </c:ext>
                <c:ext xmlns:c15="http://schemas.microsoft.com/office/drawing/2012/chart" uri="{CE6537A1-D6FC-4f65-9D91-7224C49458BB}"/>
              </c:extLst>
            </c:dLbl>
            <c:dLbl>
              <c:idx val="21"/>
              <c:layout>
                <c:manualLayout>
                  <c:x val="-6.7173881673881677E-2"/>
                  <c:y val="1.50821400821400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B89-4F20-88FF-FCD58169F18E}"/>
                </c:ext>
                <c:ext xmlns:c15="http://schemas.microsoft.com/office/drawing/2012/chart" uri="{CE6537A1-D6FC-4f65-9D91-7224C49458BB}"/>
              </c:extLst>
            </c:dLbl>
            <c:dLbl>
              <c:idx val="22"/>
              <c:layout>
                <c:manualLayout>
                  <c:x val="-7.1757936507936507E-2"/>
                  <c:y val="3.52647352647355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B89-4F20-88FF-FCD58169F18E}"/>
                </c:ext>
                <c:ext xmlns:c15="http://schemas.microsoft.com/office/drawing/2012/chart" uri="{CE6537A1-D6FC-4f65-9D91-7224C49458BB}"/>
              </c:extLst>
            </c:dLbl>
            <c:dLbl>
              <c:idx val="23"/>
              <c:layout>
                <c:manualLayout>
                  <c:x val="-7.0745343740751504E-2"/>
                  <c:y val="2.11507219514580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B89-4F20-88FF-FCD58169F18E}"/>
                </c:ext>
                <c:ext xmlns:c15="http://schemas.microsoft.com/office/drawing/2012/chart" uri="{CE6537A1-D6FC-4f65-9D91-7224C49458BB}">
                  <c15:layout>
                    <c:manualLayout>
                      <c:w val="0.11004173570607433"/>
                      <c:h val="3.2050111009620831E-2"/>
                    </c:manualLayout>
                  </c15:layout>
                </c:ext>
              </c:extLst>
            </c:dLbl>
            <c:dLbl>
              <c:idx val="24"/>
              <c:layout>
                <c:manualLayout>
                  <c:x val="-7.5434704184704271E-2"/>
                  <c:y val="1.507381507381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B89-4F20-88FF-FCD58169F18E}"/>
                </c:ext>
                <c:ext xmlns:c15="http://schemas.microsoft.com/office/drawing/2012/chart" uri="{CE6537A1-D6FC-4f65-9D91-7224C49458BB}"/>
              </c:extLst>
            </c:dLbl>
            <c:dLbl>
              <c:idx val="25"/>
              <c:layout>
                <c:manualLayout>
                  <c:x val="-8.3509740259740339E-2"/>
                  <c:y val="1.50599400599403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B89-4F20-88FF-FCD58169F18E}"/>
                </c:ext>
                <c:ext xmlns:c15="http://schemas.microsoft.com/office/drawing/2012/chart" uri="{CE6537A1-D6FC-4f65-9D91-7224C49458BB}"/>
              </c:extLst>
            </c:dLbl>
            <c:dLbl>
              <c:idx val="26"/>
              <c:layout>
                <c:manualLayout>
                  <c:x val="-8.809415584415585E-2"/>
                  <c:y val="1.50543900543903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B89-4F20-88FF-FCD58169F18E}"/>
                </c:ext>
                <c:ext xmlns:c15="http://schemas.microsoft.com/office/drawing/2012/chart" uri="{CE6537A1-D6FC-4f65-9D91-7224C49458BB}"/>
              </c:extLst>
            </c:dLbl>
            <c:dLbl>
              <c:idx val="27"/>
              <c:layout>
                <c:manualLayout>
                  <c:x val="-9.195562770562779E-2"/>
                  <c:y val="3.01254301254304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3B89-4F20-88FF-FCD58169F18E}"/>
                </c:ext>
                <c:ext xmlns:c15="http://schemas.microsoft.com/office/drawing/2012/chart" uri="{CE6537A1-D6FC-4f65-9D91-7224C49458BB}"/>
              </c:extLst>
            </c:dLbl>
            <c:dLbl>
              <c:idx val="28"/>
              <c:layout>
                <c:manualLayout>
                  <c:x val="-9.5632395382395305E-2"/>
                  <c:y val="1.504884004884021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3B89-4F20-88FF-FCD58169F18E}"/>
                </c:ext>
                <c:ext xmlns:c15="http://schemas.microsoft.com/office/drawing/2012/chart" uri="{CE6537A1-D6FC-4f65-9D91-7224C49458BB}"/>
              </c:extLst>
            </c:dLbl>
            <c:dLbl>
              <c:idx val="29"/>
              <c:layout>
                <c:manualLayout>
                  <c:x val="-0.11453427128427128"/>
                  <c:y val="3.52369852369852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3B89-4F20-88FF-FCD58169F18E}"/>
                </c:ext>
                <c:ext xmlns:c15="http://schemas.microsoft.com/office/drawing/2012/chart" uri="{CE6537A1-D6FC-4f65-9D91-7224C49458BB}"/>
              </c:extLst>
            </c:dLbl>
            <c:dLbl>
              <c:idx val="30"/>
              <c:layout>
                <c:manualLayout>
                  <c:x val="-0.12756060606060607"/>
                  <c:y val="5.02941502941502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3B89-4F20-88FF-FCD58169F18E}"/>
                </c:ext>
                <c:ext xmlns:c15="http://schemas.microsoft.com/office/drawing/2012/chart" uri="{CE6537A1-D6FC-4f65-9D91-7224C49458BB}"/>
              </c:extLst>
            </c:dLbl>
            <c:dLbl>
              <c:idx val="31"/>
              <c:layout>
                <c:manualLayout>
                  <c:x val="-0.17796423171470735"/>
                  <c:y val="5.0319916614995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3B89-4F20-88FF-FCD58169F18E}"/>
                </c:ext>
                <c:ext xmlns:c15="http://schemas.microsoft.com/office/drawing/2012/chart" uri="{CE6537A1-D6FC-4f65-9D91-7224C49458BB}">
                  <c15:layout>
                    <c:manualLayout>
                      <c:w val="0.10386327561327562"/>
                      <c:h val="3.487262737262737E-2"/>
                    </c:manualLayout>
                  </c15:layout>
                </c:ext>
              </c:extLst>
            </c:dLbl>
            <c:numFmt formatCode="#,##0.00" sourceLinked="0"/>
            <c:spPr>
              <a:noFill/>
              <a:ln>
                <a:noFill/>
              </a:ln>
              <a:effectLst/>
            </c:spPr>
            <c:txPr>
              <a:bodyPr/>
              <a:lstStyle/>
              <a:p>
                <a:pPr>
                  <a:defRPr sz="600">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'Var-Ponderadas-al-Nal.'!$L$7:$L$38</c:f>
              <c:strCache>
                <c:ptCount val="32"/>
                <c:pt idx="0">
                  <c:v>Tabasco</c:v>
                </c:pt>
                <c:pt idx="1">
                  <c:v>Colima</c:v>
                </c:pt>
                <c:pt idx="2">
                  <c:v>Tlaxcala</c:v>
                </c:pt>
                <c:pt idx="3">
                  <c:v>Nayarit</c:v>
                </c:pt>
                <c:pt idx="4">
                  <c:v>Zacatecas</c:v>
                </c:pt>
                <c:pt idx="5">
                  <c:v>Chiapas</c:v>
                </c:pt>
                <c:pt idx="6">
                  <c:v>Durango</c:v>
                </c:pt>
                <c:pt idx="7">
                  <c:v>Oaxaca</c:v>
                </c:pt>
                <c:pt idx="8">
                  <c:v>Yucatán</c:v>
                </c:pt>
                <c:pt idx="9">
                  <c:v>Morelos</c:v>
                </c:pt>
                <c:pt idx="10">
                  <c:v>Campeche</c:v>
                </c:pt>
                <c:pt idx="11">
                  <c:v>Hidalgo</c:v>
                </c:pt>
                <c:pt idx="12">
                  <c:v>Guerrero</c:v>
                </c:pt>
                <c:pt idx="13">
                  <c:v>Aguascalientes</c:v>
                </c:pt>
                <c:pt idx="14">
                  <c:v>Michoacán de Ocampo</c:v>
                </c:pt>
                <c:pt idx="15">
                  <c:v>Sinaloa</c:v>
                </c:pt>
                <c:pt idx="16">
                  <c:v>Baja California Sur</c:v>
                </c:pt>
                <c:pt idx="17">
                  <c:v>San Luis Potosí</c:v>
                </c:pt>
                <c:pt idx="18">
                  <c:v>Tamaulipas</c:v>
                </c:pt>
                <c:pt idx="19">
                  <c:v>Sonora</c:v>
                </c:pt>
                <c:pt idx="20">
                  <c:v>Querétaro</c:v>
                </c:pt>
                <c:pt idx="21">
                  <c:v>Chihuahua</c:v>
                </c:pt>
                <c:pt idx="22">
                  <c:v>Baja California</c:v>
                </c:pt>
                <c:pt idx="23">
                  <c:v>Quintana Roo</c:v>
                </c:pt>
                <c:pt idx="24">
                  <c:v>Veracruz de Ignacio de la Llave</c:v>
                </c:pt>
                <c:pt idx="25">
                  <c:v>Guanajuato</c:v>
                </c:pt>
                <c:pt idx="26">
                  <c:v>Coahuila de Zaragoza</c:v>
                </c:pt>
                <c:pt idx="27">
                  <c:v>Puebla</c:v>
                </c:pt>
                <c:pt idx="28">
                  <c:v>Jalisco</c:v>
                </c:pt>
                <c:pt idx="29">
                  <c:v>México</c:v>
                </c:pt>
                <c:pt idx="30">
                  <c:v>Nuevo León</c:v>
                </c:pt>
                <c:pt idx="31">
                  <c:v>Ciudad de México</c:v>
                </c:pt>
              </c:strCache>
            </c:strRef>
          </c:cat>
          <c:val>
            <c:numRef>
              <c:f>'Var-Ponderadas-al-Nal.'!$M$7:$M$38</c:f>
              <c:numCache>
                <c:formatCode>0.00</c:formatCode>
                <c:ptCount val="32"/>
                <c:pt idx="0">
                  <c:v>2.9519892920540511E-2</c:v>
                </c:pt>
                <c:pt idx="1">
                  <c:v>-8.5718273689175783E-2</c:v>
                </c:pt>
                <c:pt idx="2">
                  <c:v>-0.14030026095103196</c:v>
                </c:pt>
                <c:pt idx="3">
                  <c:v>-0.16082370978818802</c:v>
                </c:pt>
                <c:pt idx="4">
                  <c:v>-0.1695856774443999</c:v>
                </c:pt>
                <c:pt idx="5">
                  <c:v>-0.18275597358232673</c:v>
                </c:pt>
                <c:pt idx="6">
                  <c:v>-0.18482647828132012</c:v>
                </c:pt>
                <c:pt idx="7">
                  <c:v>-0.25062501544825033</c:v>
                </c:pt>
                <c:pt idx="8">
                  <c:v>-0.25704212013295169</c:v>
                </c:pt>
                <c:pt idx="9">
                  <c:v>-0.26870827142462245</c:v>
                </c:pt>
                <c:pt idx="10">
                  <c:v>-0.2814830485360027</c:v>
                </c:pt>
                <c:pt idx="11">
                  <c:v>-0.28425766822811616</c:v>
                </c:pt>
                <c:pt idx="12">
                  <c:v>-0.29647934683968274</c:v>
                </c:pt>
                <c:pt idx="13">
                  <c:v>-0.2976279787305508</c:v>
                </c:pt>
                <c:pt idx="14">
                  <c:v>-0.33366446922249193</c:v>
                </c:pt>
                <c:pt idx="15">
                  <c:v>-0.33947391579651831</c:v>
                </c:pt>
                <c:pt idx="16">
                  <c:v>-0.39503335670143958</c:v>
                </c:pt>
                <c:pt idx="17">
                  <c:v>-0.47323648494197645</c:v>
                </c:pt>
                <c:pt idx="18">
                  <c:v>-0.47340546239985704</c:v>
                </c:pt>
                <c:pt idx="19">
                  <c:v>-0.4967487440227184</c:v>
                </c:pt>
                <c:pt idx="20">
                  <c:v>-0.52891562783680623</c:v>
                </c:pt>
                <c:pt idx="21">
                  <c:v>-0.55596066318171744</c:v>
                </c:pt>
                <c:pt idx="22">
                  <c:v>-0.61786996209131972</c:v>
                </c:pt>
                <c:pt idx="23">
                  <c:v>-0.66750022408120324</c:v>
                </c:pt>
                <c:pt idx="24">
                  <c:v>-0.74830540817265967</c:v>
                </c:pt>
                <c:pt idx="25">
                  <c:v>-0.91447309558831102</c:v>
                </c:pt>
                <c:pt idx="26">
                  <c:v>-0.92896820695948024</c:v>
                </c:pt>
                <c:pt idx="27">
                  <c:v>-1.0135444063651313</c:v>
                </c:pt>
                <c:pt idx="28">
                  <c:v>-1.0918073546950475</c:v>
                </c:pt>
                <c:pt idx="29">
                  <c:v>-1.5262395021125581</c:v>
                </c:pt>
                <c:pt idx="30">
                  <c:v>-1.7073228357854802</c:v>
                </c:pt>
                <c:pt idx="31">
                  <c:v>-2.8860063041492836</c:v>
                </c:pt>
              </c:numCache>
            </c:numRef>
          </c:val>
          <c:extLst xmlns:c16r2="http://schemas.microsoft.com/office/drawing/2015/06/chart">
            <c:ext xmlns:c16="http://schemas.microsoft.com/office/drawing/2014/chart" uri="{C3380CC4-5D6E-409C-BE32-E72D297353CC}">
              <c16:uniqueId val="{00000020-3B89-4F20-88FF-FCD58169F18E}"/>
            </c:ext>
          </c:extLst>
        </c:ser>
        <c:dLbls>
          <c:showLegendKey val="0"/>
          <c:showVal val="0"/>
          <c:showCatName val="0"/>
          <c:showSerName val="0"/>
          <c:showPercent val="0"/>
          <c:showBubbleSize val="0"/>
        </c:dLbls>
        <c:gapWidth val="31"/>
        <c:gapDepth val="48"/>
        <c:shape val="cylinder"/>
        <c:axId val="-105799040"/>
        <c:axId val="-105798496"/>
        <c:axId val="0"/>
      </c:bar3DChart>
      <c:catAx>
        <c:axId val="-105799040"/>
        <c:scaling>
          <c:orientation val="minMax"/>
        </c:scaling>
        <c:delete val="0"/>
        <c:axPos val="l"/>
        <c:numFmt formatCode="General" sourceLinked="0"/>
        <c:majorTickMark val="out"/>
        <c:minorTickMark val="none"/>
        <c:tickLblPos val="low"/>
        <c:txPr>
          <a:bodyPr/>
          <a:lstStyle/>
          <a:p>
            <a:pPr>
              <a:defRPr sz="550">
                <a:latin typeface="Arial" pitchFamily="34" charset="0"/>
                <a:cs typeface="Arial" pitchFamily="34" charset="0"/>
              </a:defRPr>
            </a:pPr>
            <a:endParaRPr lang="es-MX"/>
          </a:p>
        </c:txPr>
        <c:crossAx val="-105798496"/>
        <c:crosses val="autoZero"/>
        <c:auto val="1"/>
        <c:lblAlgn val="ctr"/>
        <c:lblOffset val="100"/>
        <c:noMultiLvlLbl val="0"/>
      </c:catAx>
      <c:valAx>
        <c:axId val="-105798496"/>
        <c:scaling>
          <c:orientation val="minMax"/>
          <c:max val="1"/>
          <c:min val="-4"/>
        </c:scaling>
        <c:delete val="0"/>
        <c:axPos val="b"/>
        <c:numFmt formatCode="#,##0.00" sourceLinked="0"/>
        <c:majorTickMark val="out"/>
        <c:minorTickMark val="none"/>
        <c:tickLblPos val="nextTo"/>
        <c:txPr>
          <a:bodyPr/>
          <a:lstStyle/>
          <a:p>
            <a:pPr>
              <a:defRPr sz="600">
                <a:latin typeface="Arial" pitchFamily="34" charset="0"/>
                <a:cs typeface="Arial" pitchFamily="34" charset="0"/>
              </a:defRPr>
            </a:pPr>
            <a:endParaRPr lang="es-MX"/>
          </a:p>
        </c:txPr>
        <c:crossAx val="-105799040"/>
        <c:crosses val="autoZero"/>
        <c:crossBetween val="between"/>
        <c:majorUnit val="1"/>
      </c:valAx>
    </c:plotArea>
    <c:plotVisOnly val="1"/>
    <c:dispBlanksAs val="gap"/>
    <c:showDLblsOverMax val="0"/>
  </c:chart>
  <c:spPr>
    <a:noFill/>
    <a:effectLst>
      <a:outerShdw blurRad="50800" dist="12700" dir="5400000" algn="ctr" rotWithShape="0">
        <a:srgbClr val="000000"/>
      </a:outerShdw>
    </a:effectLst>
  </c:sp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2.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5.xml><?xml version="1.0" encoding="utf-8"?>
<ds:datastoreItem xmlns:ds="http://schemas.openxmlformats.org/officeDocument/2006/customXml" ds:itemID="{601DB5C0-F0BA-4CB2-8221-DF52F58A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5689</Words>
  <Characters>31294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HIFM</dc:creator>
  <cp:keywords/>
  <cp:lastModifiedBy>Flores Munguia, Hugo Israel</cp:lastModifiedBy>
  <cp:revision>23</cp:revision>
  <cp:lastPrinted>2020-02-27T00:34:00Z</cp:lastPrinted>
  <dcterms:created xsi:type="dcterms:W3CDTF">2021-02-21T12:50:00Z</dcterms:created>
  <dcterms:modified xsi:type="dcterms:W3CDTF">2021-02-21T15:24:00Z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