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5BE" w:rsidRDefault="006335BE" w:rsidP="006335BE">
      <w:pPr>
        <w:autoSpaceDE w:val="0"/>
        <w:autoSpaceDN w:val="0"/>
        <w:adjustRightInd w:val="0"/>
        <w:spacing w:before="240" w:after="120"/>
        <w:jc w:val="center"/>
        <w:rPr>
          <w:rFonts w:ascii="Arial" w:hAnsi="Arial" w:cs="Arial"/>
          <w:b/>
          <w:sz w:val="17"/>
          <w:szCs w:val="17"/>
        </w:rPr>
      </w:pPr>
      <w:r w:rsidRPr="002D70DA">
        <w:rPr>
          <w:rFonts w:ascii="Arial" w:hAnsi="Arial" w:cs="Arial"/>
          <w:b/>
          <w:sz w:val="17"/>
          <w:szCs w:val="17"/>
        </w:rPr>
        <w:t>NOTAS A LOS ESTADOS FINANCIEROS DEL</w:t>
      </w:r>
      <w:r w:rsidR="00850AEE" w:rsidRPr="002D70DA">
        <w:rPr>
          <w:rFonts w:ascii="Arial" w:hAnsi="Arial" w:cs="Arial"/>
          <w:b/>
          <w:sz w:val="17"/>
          <w:szCs w:val="17"/>
        </w:rPr>
        <w:t xml:space="preserve"> </w:t>
      </w:r>
      <w:r w:rsidR="00AC4ED7">
        <w:rPr>
          <w:rFonts w:ascii="Arial" w:hAnsi="Arial" w:cs="Arial"/>
          <w:b/>
          <w:sz w:val="17"/>
          <w:szCs w:val="17"/>
        </w:rPr>
        <w:t>GOBIERNO ESTATAL DE QUERÉTARO</w:t>
      </w:r>
    </w:p>
    <w:p w:rsidR="00776AEC" w:rsidRPr="002D70DA" w:rsidRDefault="00776AEC" w:rsidP="006335BE">
      <w:pPr>
        <w:autoSpaceDE w:val="0"/>
        <w:autoSpaceDN w:val="0"/>
        <w:adjustRightInd w:val="0"/>
        <w:spacing w:before="240" w:after="120"/>
        <w:jc w:val="center"/>
        <w:rPr>
          <w:rFonts w:ascii="Arial" w:hAnsi="Arial" w:cs="Arial"/>
          <w:b/>
          <w:sz w:val="17"/>
          <w:szCs w:val="17"/>
        </w:rPr>
      </w:pPr>
    </w:p>
    <w:p w:rsidR="006335BE" w:rsidRPr="002D70DA" w:rsidRDefault="003E7A1F" w:rsidP="006335BE">
      <w:pPr>
        <w:spacing w:before="80" w:line="250" w:lineRule="exact"/>
        <w:jc w:val="both"/>
        <w:rPr>
          <w:rFonts w:ascii="Arial" w:eastAsia="Calibri" w:hAnsi="Arial" w:cs="Arial"/>
          <w:spacing w:val="-1"/>
          <w:sz w:val="17"/>
          <w:szCs w:val="17"/>
        </w:rPr>
      </w:pPr>
      <w:r w:rsidRPr="002D70DA">
        <w:rPr>
          <w:rFonts w:ascii="Arial" w:eastAsia="Calibri" w:hAnsi="Arial" w:cs="Arial"/>
          <w:spacing w:val="-1"/>
          <w:sz w:val="17"/>
          <w:szCs w:val="17"/>
        </w:rPr>
        <w:t>Con el propósito de dar cumplimiento a los artículos 46 y 49 de la Ley General de Contabilidad Gubernamental (LGCG)</w:t>
      </w:r>
      <w:r w:rsidR="006335BE" w:rsidRPr="002D70DA">
        <w:rPr>
          <w:rFonts w:ascii="Arial" w:eastAsia="Calibri" w:hAnsi="Arial" w:cs="Arial"/>
          <w:spacing w:val="-1"/>
          <w:sz w:val="17"/>
          <w:szCs w:val="17"/>
        </w:rPr>
        <w:t>, así como a la normatividad emitida por el Consejo Nacional de Armonización Contable</w:t>
      </w:r>
      <w:r w:rsidRPr="002D70DA">
        <w:rPr>
          <w:rFonts w:ascii="Arial" w:eastAsia="Calibri" w:hAnsi="Arial" w:cs="Arial"/>
          <w:spacing w:val="-1"/>
          <w:sz w:val="17"/>
          <w:szCs w:val="17"/>
        </w:rPr>
        <w:t xml:space="preserve"> (CONAC)</w:t>
      </w:r>
      <w:r w:rsidR="006335BE" w:rsidRPr="002D70DA">
        <w:rPr>
          <w:rFonts w:ascii="Arial" w:eastAsia="Calibri" w:hAnsi="Arial" w:cs="Arial"/>
          <w:spacing w:val="-1"/>
          <w:sz w:val="17"/>
          <w:szCs w:val="17"/>
        </w:rPr>
        <w:t xml:space="preserve">, </w:t>
      </w:r>
      <w:r w:rsidR="005E767D" w:rsidRPr="002D70DA">
        <w:rPr>
          <w:rFonts w:ascii="Arial" w:eastAsia="Calibri" w:hAnsi="Arial" w:cs="Arial"/>
          <w:spacing w:val="-1"/>
          <w:sz w:val="17"/>
          <w:szCs w:val="17"/>
        </w:rPr>
        <w:t>en seguida</w:t>
      </w:r>
      <w:r w:rsidRPr="002D70DA">
        <w:rPr>
          <w:rFonts w:ascii="Arial" w:eastAsia="Calibri" w:hAnsi="Arial" w:cs="Arial"/>
          <w:spacing w:val="-1"/>
          <w:sz w:val="17"/>
          <w:szCs w:val="17"/>
        </w:rPr>
        <w:t>,</w:t>
      </w:r>
      <w:r w:rsidR="006335BE" w:rsidRPr="002D70DA">
        <w:rPr>
          <w:rFonts w:ascii="Arial" w:eastAsia="Calibri" w:hAnsi="Arial" w:cs="Arial"/>
          <w:spacing w:val="-1"/>
          <w:sz w:val="17"/>
          <w:szCs w:val="17"/>
        </w:rPr>
        <w:t xml:space="preserve"> se presentan las notas a los estados financieros correspondientes al</w:t>
      </w:r>
      <w:r w:rsidR="005D109B">
        <w:rPr>
          <w:rFonts w:ascii="Arial" w:eastAsia="Calibri" w:hAnsi="Arial" w:cs="Arial"/>
          <w:spacing w:val="-1"/>
          <w:sz w:val="17"/>
          <w:szCs w:val="17"/>
        </w:rPr>
        <w:t xml:space="preserve"> 3</w:t>
      </w:r>
      <w:r w:rsidR="00316A2A">
        <w:rPr>
          <w:rFonts w:ascii="Arial" w:eastAsia="Calibri" w:hAnsi="Arial" w:cs="Arial"/>
          <w:spacing w:val="-1"/>
          <w:sz w:val="17"/>
          <w:szCs w:val="17"/>
        </w:rPr>
        <w:t>1</w:t>
      </w:r>
      <w:r w:rsidR="005D109B">
        <w:rPr>
          <w:rFonts w:ascii="Arial" w:eastAsia="Calibri" w:hAnsi="Arial" w:cs="Arial"/>
          <w:spacing w:val="-1"/>
          <w:sz w:val="17"/>
          <w:szCs w:val="17"/>
        </w:rPr>
        <w:t xml:space="preserve"> de </w:t>
      </w:r>
      <w:r w:rsidR="00316A2A">
        <w:rPr>
          <w:rFonts w:ascii="Arial" w:eastAsia="Calibri" w:hAnsi="Arial" w:cs="Arial"/>
          <w:spacing w:val="-1"/>
          <w:sz w:val="17"/>
          <w:szCs w:val="17"/>
        </w:rPr>
        <w:t>diciembre</w:t>
      </w:r>
      <w:r w:rsidR="005D109B">
        <w:rPr>
          <w:rFonts w:ascii="Arial" w:eastAsia="Calibri" w:hAnsi="Arial" w:cs="Arial"/>
          <w:spacing w:val="-1"/>
          <w:sz w:val="17"/>
          <w:szCs w:val="17"/>
        </w:rPr>
        <w:t xml:space="preserve"> del </w:t>
      </w:r>
      <w:r w:rsidR="00FD7D84">
        <w:rPr>
          <w:rFonts w:ascii="Arial" w:eastAsia="Calibri" w:hAnsi="Arial" w:cs="Arial"/>
          <w:spacing w:val="-1"/>
          <w:sz w:val="17"/>
          <w:szCs w:val="17"/>
        </w:rPr>
        <w:t>2020</w:t>
      </w:r>
      <w:r w:rsidR="006335BE" w:rsidRPr="002D70DA">
        <w:rPr>
          <w:rFonts w:ascii="Arial" w:eastAsia="Calibri" w:hAnsi="Arial" w:cs="Arial"/>
          <w:spacing w:val="-1"/>
          <w:sz w:val="17"/>
          <w:szCs w:val="17"/>
        </w:rPr>
        <w:t xml:space="preserve">, </w:t>
      </w:r>
      <w:r w:rsidR="005E767D" w:rsidRPr="002D70DA">
        <w:rPr>
          <w:rFonts w:ascii="Arial" w:eastAsia="Calibri" w:hAnsi="Arial" w:cs="Arial"/>
          <w:spacing w:val="-1"/>
          <w:sz w:val="17"/>
          <w:szCs w:val="17"/>
        </w:rPr>
        <w:t>teniendo presente los postulados de revelación suficiente e importancia relativa con la finalidad de que la información sea de mayor utilidad para los usuarios. Los tres tipos de notas que acompañan a los estados financieros, son:</w:t>
      </w:r>
    </w:p>
    <w:p w:rsidR="006335BE" w:rsidRPr="002D70DA" w:rsidRDefault="005E767D" w:rsidP="00795E45">
      <w:pPr>
        <w:pStyle w:val="Prrafodelista"/>
        <w:numPr>
          <w:ilvl w:val="0"/>
          <w:numId w:val="8"/>
        </w:numPr>
        <w:spacing w:before="80" w:line="250" w:lineRule="exact"/>
        <w:ind w:left="714" w:hanging="357"/>
        <w:contextualSpacing w:val="0"/>
        <w:jc w:val="both"/>
        <w:rPr>
          <w:rFonts w:ascii="Arial" w:eastAsia="Calibri" w:hAnsi="Arial" w:cs="Arial"/>
          <w:spacing w:val="-1"/>
          <w:sz w:val="17"/>
          <w:szCs w:val="17"/>
        </w:rPr>
      </w:pPr>
      <w:r w:rsidRPr="002D70DA">
        <w:rPr>
          <w:rFonts w:ascii="Arial" w:eastAsia="Calibri" w:hAnsi="Arial" w:cs="Arial"/>
          <w:spacing w:val="-1"/>
          <w:sz w:val="17"/>
          <w:szCs w:val="17"/>
        </w:rPr>
        <w:t xml:space="preserve">a) </w:t>
      </w:r>
      <w:r w:rsidR="006335BE" w:rsidRPr="002D70DA">
        <w:rPr>
          <w:rFonts w:ascii="Arial" w:eastAsia="Calibri" w:hAnsi="Arial" w:cs="Arial"/>
          <w:spacing w:val="-1"/>
          <w:sz w:val="17"/>
          <w:szCs w:val="17"/>
        </w:rPr>
        <w:t>Notas de Desglose</w:t>
      </w:r>
    </w:p>
    <w:p w:rsidR="006335BE" w:rsidRPr="002D70DA" w:rsidRDefault="005E767D" w:rsidP="00795E45">
      <w:pPr>
        <w:pStyle w:val="Prrafodelista"/>
        <w:numPr>
          <w:ilvl w:val="0"/>
          <w:numId w:val="8"/>
        </w:numPr>
        <w:spacing w:before="80" w:line="250" w:lineRule="exact"/>
        <w:ind w:left="714" w:hanging="357"/>
        <w:contextualSpacing w:val="0"/>
        <w:jc w:val="both"/>
        <w:rPr>
          <w:rFonts w:ascii="Arial" w:eastAsia="Calibri" w:hAnsi="Arial" w:cs="Arial"/>
          <w:spacing w:val="-1"/>
          <w:sz w:val="17"/>
          <w:szCs w:val="17"/>
        </w:rPr>
      </w:pPr>
      <w:r w:rsidRPr="002D70DA">
        <w:rPr>
          <w:rFonts w:ascii="Arial" w:eastAsia="Calibri" w:hAnsi="Arial" w:cs="Arial"/>
          <w:spacing w:val="-1"/>
          <w:sz w:val="17"/>
          <w:szCs w:val="17"/>
        </w:rPr>
        <w:t xml:space="preserve">b) </w:t>
      </w:r>
      <w:r w:rsidR="006335BE" w:rsidRPr="002D70DA">
        <w:rPr>
          <w:rFonts w:ascii="Arial" w:eastAsia="Calibri" w:hAnsi="Arial" w:cs="Arial"/>
          <w:spacing w:val="-1"/>
          <w:sz w:val="17"/>
          <w:szCs w:val="17"/>
        </w:rPr>
        <w:t>Notas de Memoria</w:t>
      </w:r>
    </w:p>
    <w:p w:rsidR="006335BE" w:rsidRPr="002D70DA" w:rsidRDefault="005E767D" w:rsidP="00795E45">
      <w:pPr>
        <w:pStyle w:val="Prrafodelista"/>
        <w:numPr>
          <w:ilvl w:val="0"/>
          <w:numId w:val="8"/>
        </w:numPr>
        <w:spacing w:before="80" w:line="250" w:lineRule="exact"/>
        <w:ind w:left="714" w:hanging="357"/>
        <w:contextualSpacing w:val="0"/>
        <w:jc w:val="both"/>
        <w:rPr>
          <w:rFonts w:ascii="Arial" w:eastAsia="Calibri" w:hAnsi="Arial" w:cs="Arial"/>
          <w:spacing w:val="-1"/>
          <w:sz w:val="17"/>
          <w:szCs w:val="17"/>
        </w:rPr>
      </w:pPr>
      <w:r w:rsidRPr="002D70DA">
        <w:rPr>
          <w:rFonts w:ascii="Arial" w:eastAsia="Calibri" w:hAnsi="Arial" w:cs="Arial"/>
          <w:spacing w:val="-1"/>
          <w:sz w:val="17"/>
          <w:szCs w:val="17"/>
        </w:rPr>
        <w:t xml:space="preserve">c) </w:t>
      </w:r>
      <w:r w:rsidR="006335BE" w:rsidRPr="002D70DA">
        <w:rPr>
          <w:rFonts w:ascii="Arial" w:eastAsia="Calibri" w:hAnsi="Arial" w:cs="Arial"/>
          <w:spacing w:val="-1"/>
          <w:sz w:val="17"/>
          <w:szCs w:val="17"/>
        </w:rPr>
        <w:t>Notas de Gestión Administrativa</w:t>
      </w:r>
    </w:p>
    <w:p w:rsidR="006335BE" w:rsidRPr="002D70DA" w:rsidRDefault="006335BE" w:rsidP="00795E45">
      <w:pPr>
        <w:numPr>
          <w:ilvl w:val="0"/>
          <w:numId w:val="9"/>
        </w:numPr>
        <w:autoSpaceDE w:val="0"/>
        <w:autoSpaceDN w:val="0"/>
        <w:adjustRightInd w:val="0"/>
        <w:spacing w:before="240" w:after="120"/>
        <w:jc w:val="center"/>
        <w:rPr>
          <w:rFonts w:ascii="Arial" w:hAnsi="Arial" w:cs="Arial"/>
          <w:b/>
          <w:sz w:val="17"/>
          <w:szCs w:val="17"/>
        </w:rPr>
      </w:pPr>
      <w:r w:rsidRPr="002D70DA">
        <w:rPr>
          <w:rFonts w:ascii="Arial" w:hAnsi="Arial" w:cs="Arial"/>
          <w:b/>
          <w:sz w:val="17"/>
          <w:szCs w:val="17"/>
        </w:rPr>
        <w:t>Notas de Desglose:</w:t>
      </w:r>
    </w:p>
    <w:p w:rsidR="006335BE" w:rsidRPr="002D70DA" w:rsidRDefault="006335BE" w:rsidP="00795E45">
      <w:pPr>
        <w:pStyle w:val="Prrafodelista"/>
        <w:numPr>
          <w:ilvl w:val="0"/>
          <w:numId w:val="10"/>
        </w:numPr>
        <w:autoSpaceDE w:val="0"/>
        <w:autoSpaceDN w:val="0"/>
        <w:adjustRightInd w:val="0"/>
        <w:spacing w:before="240" w:after="120"/>
        <w:jc w:val="both"/>
        <w:rPr>
          <w:rFonts w:ascii="Arial" w:hAnsi="Arial" w:cs="Arial"/>
          <w:b/>
          <w:sz w:val="17"/>
          <w:szCs w:val="17"/>
        </w:rPr>
      </w:pPr>
      <w:r w:rsidRPr="002D70DA">
        <w:rPr>
          <w:rFonts w:ascii="Arial" w:hAnsi="Arial" w:cs="Arial"/>
          <w:b/>
          <w:sz w:val="17"/>
          <w:szCs w:val="17"/>
        </w:rPr>
        <w:t>Notas al Estado de Situación Financiera</w:t>
      </w:r>
    </w:p>
    <w:p w:rsidR="006335BE" w:rsidRPr="002D70DA" w:rsidRDefault="006335BE" w:rsidP="006335BE">
      <w:pPr>
        <w:autoSpaceDE w:val="0"/>
        <w:autoSpaceDN w:val="0"/>
        <w:adjustRightInd w:val="0"/>
        <w:spacing w:before="240" w:after="120"/>
        <w:jc w:val="both"/>
        <w:rPr>
          <w:rFonts w:ascii="Arial" w:hAnsi="Arial" w:cs="Arial"/>
          <w:b/>
          <w:sz w:val="17"/>
          <w:szCs w:val="17"/>
        </w:rPr>
      </w:pPr>
      <w:r w:rsidRPr="002D70DA">
        <w:rPr>
          <w:rFonts w:ascii="Arial" w:hAnsi="Arial" w:cs="Arial"/>
          <w:b/>
          <w:sz w:val="17"/>
          <w:szCs w:val="17"/>
        </w:rPr>
        <w:t>Activo</w:t>
      </w:r>
    </w:p>
    <w:p w:rsidR="006335BE" w:rsidRPr="002D70DA" w:rsidRDefault="006335BE" w:rsidP="00795E45">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sidRPr="002D70DA">
        <w:rPr>
          <w:rFonts w:ascii="Arial" w:eastAsia="Calibri" w:hAnsi="Arial" w:cs="Arial"/>
          <w:b/>
          <w:spacing w:val="-1"/>
          <w:sz w:val="17"/>
          <w:szCs w:val="17"/>
        </w:rPr>
        <w:t xml:space="preserve">Efectivo y </w:t>
      </w:r>
      <w:r w:rsidR="00CE4092" w:rsidRPr="002D70DA">
        <w:rPr>
          <w:rFonts w:ascii="Arial" w:eastAsia="Calibri" w:hAnsi="Arial" w:cs="Arial"/>
          <w:b/>
          <w:spacing w:val="-1"/>
          <w:sz w:val="17"/>
          <w:szCs w:val="17"/>
        </w:rPr>
        <w:t>e</w:t>
      </w:r>
      <w:r w:rsidRPr="002D70DA">
        <w:rPr>
          <w:rFonts w:ascii="Arial" w:eastAsia="Calibri" w:hAnsi="Arial" w:cs="Arial"/>
          <w:b/>
          <w:spacing w:val="-1"/>
          <w:sz w:val="17"/>
          <w:szCs w:val="17"/>
        </w:rPr>
        <w:t>quivalentes</w:t>
      </w:r>
    </w:p>
    <w:p w:rsidR="009D4479" w:rsidRDefault="001B59FD" w:rsidP="006335BE">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 xml:space="preserve">En este apartado se informa </w:t>
      </w:r>
      <w:r w:rsidR="009D4479">
        <w:rPr>
          <w:rFonts w:ascii="Arial" w:eastAsia="Calibri" w:hAnsi="Arial" w:cs="Arial"/>
          <w:spacing w:val="-1"/>
          <w:sz w:val="17"/>
          <w:szCs w:val="17"/>
        </w:rPr>
        <w:t>la integración del rubro efectivo y equivalentes en posición del</w:t>
      </w:r>
      <w:r w:rsidR="004A4F89">
        <w:rPr>
          <w:rFonts w:ascii="Arial" w:eastAsia="Calibri" w:hAnsi="Arial" w:cs="Arial"/>
          <w:spacing w:val="-1"/>
          <w:sz w:val="17"/>
          <w:szCs w:val="17"/>
        </w:rPr>
        <w:t xml:space="preserve"> </w:t>
      </w:r>
      <w:r w:rsidR="000B2076">
        <w:rPr>
          <w:rFonts w:ascii="Arial" w:eastAsia="Calibri" w:hAnsi="Arial" w:cs="Arial"/>
          <w:spacing w:val="-1"/>
          <w:sz w:val="17"/>
          <w:szCs w:val="17"/>
        </w:rPr>
        <w:t>Gobierno Estatal de Querétaro</w:t>
      </w:r>
      <w:r w:rsidR="009D4479">
        <w:rPr>
          <w:rFonts w:ascii="Arial" w:eastAsia="Calibri" w:hAnsi="Arial" w:cs="Arial"/>
          <w:spacing w:val="-1"/>
          <w:sz w:val="17"/>
          <w:szCs w:val="17"/>
        </w:rPr>
        <w:t>:</w:t>
      </w:r>
    </w:p>
    <w:p w:rsidR="009D4479" w:rsidRPr="002D70DA" w:rsidRDefault="009D4479" w:rsidP="009D4479">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9D4479" w:rsidRPr="002D70DA" w:rsidTr="00A704E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9D4479" w:rsidRPr="002D70DA" w:rsidRDefault="009D4479" w:rsidP="001A0060">
            <w:pPr>
              <w:jc w:val="center"/>
              <w:rPr>
                <w:rFonts w:ascii="Arial" w:hAnsi="Arial" w:cs="Arial"/>
                <w:b/>
                <w:bCs/>
                <w:color w:val="000000"/>
                <w:sz w:val="17"/>
                <w:szCs w:val="17"/>
              </w:rPr>
            </w:pPr>
            <w:r>
              <w:rPr>
                <w:rFonts w:ascii="Arial" w:hAnsi="Arial" w:cs="Arial"/>
                <w:b/>
                <w:bCs/>
                <w:color w:val="000000"/>
                <w:sz w:val="17"/>
                <w:szCs w:val="17"/>
              </w:rPr>
              <w:t>Concepto</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D4479" w:rsidRPr="002D70DA" w:rsidRDefault="00FD7D84" w:rsidP="001A0060">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D4479" w:rsidRPr="002D70DA" w:rsidRDefault="00FD7D84" w:rsidP="001A0060">
            <w:pPr>
              <w:jc w:val="center"/>
              <w:rPr>
                <w:rFonts w:ascii="Arial" w:hAnsi="Arial" w:cs="Arial"/>
                <w:b/>
                <w:bCs/>
                <w:color w:val="000000"/>
                <w:sz w:val="17"/>
                <w:szCs w:val="17"/>
              </w:rPr>
            </w:pPr>
            <w:r>
              <w:rPr>
                <w:rFonts w:ascii="Arial" w:hAnsi="Arial" w:cs="Arial"/>
                <w:b/>
                <w:bCs/>
                <w:color w:val="000000"/>
                <w:sz w:val="17"/>
                <w:szCs w:val="17"/>
              </w:rPr>
              <w:t>2019</w:t>
            </w:r>
          </w:p>
        </w:tc>
      </w:tr>
      <w:tr w:rsidR="00A704E2" w:rsidRPr="002D70DA" w:rsidTr="00A704E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704E2" w:rsidRPr="009831D5" w:rsidRDefault="00A704E2" w:rsidP="00A704E2">
            <w:pPr>
              <w:rPr>
                <w:rFonts w:ascii="Arial" w:hAnsi="Arial" w:cs="Arial"/>
                <w:sz w:val="17"/>
                <w:szCs w:val="17"/>
              </w:rPr>
            </w:pPr>
            <w:r w:rsidRPr="009831D5">
              <w:rPr>
                <w:rFonts w:ascii="Arial" w:hAnsi="Arial" w:cs="Arial"/>
                <w:sz w:val="17"/>
                <w:szCs w:val="17"/>
              </w:rPr>
              <w:t>Efectivo</w:t>
            </w:r>
          </w:p>
        </w:tc>
        <w:tc>
          <w:tcPr>
            <w:tcW w:w="2180" w:type="dxa"/>
            <w:tcBorders>
              <w:top w:val="single" w:sz="4" w:space="0" w:color="auto"/>
              <w:left w:val="nil"/>
              <w:bottom w:val="single" w:sz="4" w:space="0" w:color="auto"/>
              <w:right w:val="single" w:sz="4" w:space="0" w:color="auto"/>
            </w:tcBorders>
            <w:shd w:val="clear" w:color="auto" w:fill="auto"/>
          </w:tcPr>
          <w:p w:rsidR="00A704E2" w:rsidRPr="00A704E2" w:rsidRDefault="00A704E2" w:rsidP="00A704E2">
            <w:pPr>
              <w:jc w:val="right"/>
              <w:rPr>
                <w:rFonts w:ascii="Arial" w:hAnsi="Arial" w:cs="Arial"/>
                <w:sz w:val="17"/>
                <w:szCs w:val="17"/>
              </w:rPr>
            </w:pPr>
            <w:r w:rsidRPr="00A704E2">
              <w:rPr>
                <w:rFonts w:ascii="Arial" w:hAnsi="Arial" w:cs="Arial"/>
                <w:sz w:val="17"/>
                <w:szCs w:val="17"/>
              </w:rPr>
              <w:t xml:space="preserve">-2,859,145 </w:t>
            </w:r>
          </w:p>
        </w:tc>
        <w:tc>
          <w:tcPr>
            <w:tcW w:w="2180" w:type="dxa"/>
            <w:tcBorders>
              <w:top w:val="single" w:sz="4" w:space="0" w:color="auto"/>
              <w:left w:val="nil"/>
              <w:bottom w:val="single" w:sz="4" w:space="0" w:color="auto"/>
              <w:right w:val="single" w:sz="4" w:space="0" w:color="auto"/>
            </w:tcBorders>
            <w:shd w:val="clear" w:color="auto" w:fill="auto"/>
          </w:tcPr>
          <w:p w:rsidR="00A704E2" w:rsidRPr="00A704E2" w:rsidRDefault="00A704E2" w:rsidP="00A704E2">
            <w:pPr>
              <w:jc w:val="right"/>
              <w:rPr>
                <w:rFonts w:ascii="Arial" w:hAnsi="Arial" w:cs="Arial"/>
                <w:sz w:val="17"/>
                <w:szCs w:val="17"/>
              </w:rPr>
            </w:pPr>
            <w:r w:rsidRPr="00A704E2">
              <w:rPr>
                <w:rFonts w:ascii="Arial" w:hAnsi="Arial" w:cs="Arial"/>
                <w:sz w:val="17"/>
                <w:szCs w:val="17"/>
              </w:rPr>
              <w:t xml:space="preserve">-2,872,637 </w:t>
            </w:r>
          </w:p>
        </w:tc>
      </w:tr>
      <w:tr w:rsidR="00A704E2" w:rsidRPr="002D70DA" w:rsidTr="00A704E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704E2" w:rsidRPr="009831D5" w:rsidRDefault="00A704E2" w:rsidP="00A704E2">
            <w:pPr>
              <w:rPr>
                <w:rFonts w:ascii="Arial" w:hAnsi="Arial" w:cs="Arial"/>
                <w:sz w:val="17"/>
                <w:szCs w:val="17"/>
              </w:rPr>
            </w:pPr>
            <w:r w:rsidRPr="009831D5">
              <w:rPr>
                <w:rFonts w:ascii="Arial" w:hAnsi="Arial" w:cs="Arial"/>
                <w:sz w:val="17"/>
                <w:szCs w:val="17"/>
              </w:rPr>
              <w:t>Bancos/Tesorería</w:t>
            </w:r>
          </w:p>
        </w:tc>
        <w:tc>
          <w:tcPr>
            <w:tcW w:w="2180" w:type="dxa"/>
            <w:tcBorders>
              <w:top w:val="single" w:sz="4" w:space="0" w:color="auto"/>
              <w:left w:val="nil"/>
              <w:bottom w:val="single" w:sz="4" w:space="0" w:color="auto"/>
              <w:right w:val="single" w:sz="4" w:space="0" w:color="auto"/>
            </w:tcBorders>
            <w:shd w:val="clear" w:color="auto" w:fill="auto"/>
          </w:tcPr>
          <w:p w:rsidR="00A704E2" w:rsidRPr="00A704E2" w:rsidRDefault="00A704E2" w:rsidP="00A704E2">
            <w:pPr>
              <w:jc w:val="right"/>
              <w:rPr>
                <w:rFonts w:ascii="Arial" w:hAnsi="Arial" w:cs="Arial"/>
                <w:sz w:val="17"/>
                <w:szCs w:val="17"/>
              </w:rPr>
            </w:pPr>
            <w:r w:rsidRPr="00A704E2">
              <w:rPr>
                <w:rFonts w:ascii="Arial" w:hAnsi="Arial" w:cs="Arial"/>
                <w:sz w:val="17"/>
                <w:szCs w:val="17"/>
              </w:rPr>
              <w:t xml:space="preserve">4,166,263,971 </w:t>
            </w:r>
          </w:p>
        </w:tc>
        <w:tc>
          <w:tcPr>
            <w:tcW w:w="2180" w:type="dxa"/>
            <w:tcBorders>
              <w:top w:val="single" w:sz="4" w:space="0" w:color="auto"/>
              <w:left w:val="nil"/>
              <w:bottom w:val="single" w:sz="4" w:space="0" w:color="auto"/>
              <w:right w:val="single" w:sz="4" w:space="0" w:color="auto"/>
            </w:tcBorders>
            <w:shd w:val="clear" w:color="auto" w:fill="auto"/>
          </w:tcPr>
          <w:p w:rsidR="00A704E2" w:rsidRPr="00A704E2" w:rsidRDefault="00A704E2" w:rsidP="00A704E2">
            <w:pPr>
              <w:jc w:val="right"/>
              <w:rPr>
                <w:rFonts w:ascii="Arial" w:hAnsi="Arial" w:cs="Arial"/>
                <w:sz w:val="17"/>
                <w:szCs w:val="17"/>
              </w:rPr>
            </w:pPr>
            <w:r w:rsidRPr="00A704E2">
              <w:rPr>
                <w:rFonts w:ascii="Arial" w:hAnsi="Arial" w:cs="Arial"/>
                <w:sz w:val="17"/>
                <w:szCs w:val="17"/>
              </w:rPr>
              <w:t xml:space="preserve"> 5,419,640,670 </w:t>
            </w:r>
          </w:p>
        </w:tc>
      </w:tr>
      <w:tr w:rsidR="00A704E2" w:rsidRPr="002D70DA" w:rsidTr="00A704E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704E2" w:rsidRPr="009831D5" w:rsidRDefault="00A704E2" w:rsidP="00A704E2">
            <w:pPr>
              <w:rPr>
                <w:rFonts w:ascii="Arial" w:hAnsi="Arial" w:cs="Arial"/>
                <w:sz w:val="17"/>
                <w:szCs w:val="17"/>
              </w:rPr>
            </w:pPr>
            <w:r w:rsidRPr="009831D5">
              <w:rPr>
                <w:rFonts w:ascii="Arial" w:hAnsi="Arial" w:cs="Arial"/>
                <w:sz w:val="17"/>
                <w:szCs w:val="17"/>
              </w:rPr>
              <w:t>Bancos/Dependencias y Otros</w:t>
            </w:r>
          </w:p>
        </w:tc>
        <w:tc>
          <w:tcPr>
            <w:tcW w:w="2180" w:type="dxa"/>
            <w:tcBorders>
              <w:top w:val="single" w:sz="4" w:space="0" w:color="auto"/>
              <w:left w:val="nil"/>
              <w:bottom w:val="single" w:sz="4" w:space="0" w:color="auto"/>
              <w:right w:val="single" w:sz="4" w:space="0" w:color="auto"/>
            </w:tcBorders>
            <w:shd w:val="clear" w:color="auto" w:fill="auto"/>
          </w:tcPr>
          <w:p w:rsidR="00A704E2" w:rsidRPr="00A704E2" w:rsidRDefault="00A704E2" w:rsidP="00A704E2">
            <w:pPr>
              <w:jc w:val="right"/>
              <w:rPr>
                <w:rFonts w:ascii="Arial" w:hAnsi="Arial" w:cs="Arial"/>
                <w:sz w:val="17"/>
                <w:szCs w:val="17"/>
              </w:rPr>
            </w:pPr>
            <w:r w:rsidRPr="00A704E2">
              <w:rPr>
                <w:rFonts w:ascii="Arial" w:hAnsi="Arial" w:cs="Arial"/>
                <w:sz w:val="17"/>
                <w:szCs w:val="17"/>
              </w:rPr>
              <w:t xml:space="preserve">10,212,956 </w:t>
            </w:r>
          </w:p>
        </w:tc>
        <w:tc>
          <w:tcPr>
            <w:tcW w:w="2180" w:type="dxa"/>
            <w:tcBorders>
              <w:top w:val="single" w:sz="4" w:space="0" w:color="auto"/>
              <w:left w:val="nil"/>
              <w:bottom w:val="single" w:sz="4" w:space="0" w:color="auto"/>
              <w:right w:val="single" w:sz="4" w:space="0" w:color="auto"/>
            </w:tcBorders>
            <w:shd w:val="clear" w:color="auto" w:fill="auto"/>
          </w:tcPr>
          <w:p w:rsidR="00A704E2" w:rsidRPr="00A704E2" w:rsidRDefault="00A704E2" w:rsidP="00A704E2">
            <w:pPr>
              <w:jc w:val="right"/>
              <w:rPr>
                <w:rFonts w:ascii="Arial" w:hAnsi="Arial" w:cs="Arial"/>
                <w:sz w:val="17"/>
                <w:szCs w:val="17"/>
              </w:rPr>
            </w:pPr>
            <w:r w:rsidRPr="00A704E2">
              <w:rPr>
                <w:rFonts w:ascii="Arial" w:hAnsi="Arial" w:cs="Arial"/>
                <w:sz w:val="17"/>
                <w:szCs w:val="17"/>
              </w:rPr>
              <w:t xml:space="preserve"> 11,203,660 </w:t>
            </w:r>
          </w:p>
        </w:tc>
      </w:tr>
      <w:tr w:rsidR="00A704E2" w:rsidRPr="002D70DA" w:rsidTr="00A704E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704E2" w:rsidRPr="009831D5" w:rsidRDefault="00A704E2" w:rsidP="00A704E2">
            <w:pPr>
              <w:rPr>
                <w:rFonts w:ascii="Arial" w:hAnsi="Arial" w:cs="Arial"/>
                <w:sz w:val="17"/>
                <w:szCs w:val="17"/>
              </w:rPr>
            </w:pPr>
            <w:r w:rsidRPr="009831D5">
              <w:rPr>
                <w:rFonts w:ascii="Arial" w:hAnsi="Arial" w:cs="Arial"/>
                <w:sz w:val="17"/>
                <w:szCs w:val="17"/>
              </w:rPr>
              <w:t>Inversiones Temporales (Hasta 3 Meses)</w:t>
            </w:r>
          </w:p>
        </w:tc>
        <w:tc>
          <w:tcPr>
            <w:tcW w:w="2180" w:type="dxa"/>
            <w:tcBorders>
              <w:top w:val="single" w:sz="4" w:space="0" w:color="auto"/>
              <w:left w:val="nil"/>
              <w:bottom w:val="single" w:sz="4" w:space="0" w:color="auto"/>
              <w:right w:val="single" w:sz="4" w:space="0" w:color="auto"/>
            </w:tcBorders>
            <w:shd w:val="clear" w:color="auto" w:fill="auto"/>
          </w:tcPr>
          <w:p w:rsidR="00A704E2" w:rsidRPr="00A704E2" w:rsidRDefault="00A704E2" w:rsidP="00A704E2">
            <w:pPr>
              <w:jc w:val="right"/>
              <w:rPr>
                <w:rFonts w:ascii="Arial" w:hAnsi="Arial" w:cs="Arial"/>
                <w:sz w:val="17"/>
                <w:szCs w:val="17"/>
              </w:rPr>
            </w:pPr>
            <w:r w:rsidRPr="00A704E2">
              <w:rPr>
                <w:rFonts w:ascii="Arial" w:hAnsi="Arial" w:cs="Arial"/>
                <w:sz w:val="17"/>
                <w:szCs w:val="17"/>
              </w:rPr>
              <w:t xml:space="preserve">586,977,246 </w:t>
            </w:r>
          </w:p>
        </w:tc>
        <w:tc>
          <w:tcPr>
            <w:tcW w:w="2180" w:type="dxa"/>
            <w:tcBorders>
              <w:top w:val="single" w:sz="4" w:space="0" w:color="auto"/>
              <w:left w:val="nil"/>
              <w:bottom w:val="single" w:sz="4" w:space="0" w:color="auto"/>
              <w:right w:val="single" w:sz="4" w:space="0" w:color="auto"/>
            </w:tcBorders>
            <w:shd w:val="clear" w:color="auto" w:fill="auto"/>
          </w:tcPr>
          <w:p w:rsidR="00A704E2" w:rsidRPr="00A704E2" w:rsidRDefault="00A704E2" w:rsidP="00A704E2">
            <w:pPr>
              <w:jc w:val="right"/>
              <w:rPr>
                <w:rFonts w:ascii="Arial" w:hAnsi="Arial" w:cs="Arial"/>
                <w:sz w:val="17"/>
                <w:szCs w:val="17"/>
              </w:rPr>
            </w:pPr>
            <w:r w:rsidRPr="00A704E2">
              <w:rPr>
                <w:rFonts w:ascii="Arial" w:hAnsi="Arial" w:cs="Arial"/>
                <w:sz w:val="17"/>
                <w:szCs w:val="17"/>
              </w:rPr>
              <w:t xml:space="preserve"> 768,621,870 </w:t>
            </w:r>
          </w:p>
        </w:tc>
      </w:tr>
      <w:tr w:rsidR="00A704E2" w:rsidRPr="002D70DA" w:rsidTr="00A704E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704E2" w:rsidRPr="009831D5" w:rsidRDefault="00A704E2" w:rsidP="00A704E2">
            <w:pPr>
              <w:rPr>
                <w:rFonts w:ascii="Arial" w:hAnsi="Arial" w:cs="Arial"/>
                <w:sz w:val="17"/>
                <w:szCs w:val="17"/>
              </w:rPr>
            </w:pPr>
            <w:r w:rsidRPr="009831D5">
              <w:rPr>
                <w:rFonts w:ascii="Arial" w:hAnsi="Arial" w:cs="Arial"/>
                <w:sz w:val="17"/>
                <w:szCs w:val="17"/>
              </w:rPr>
              <w:t>Depósitos de</w:t>
            </w:r>
            <w:r>
              <w:rPr>
                <w:rFonts w:ascii="Arial" w:hAnsi="Arial" w:cs="Arial"/>
                <w:sz w:val="17"/>
                <w:szCs w:val="17"/>
              </w:rPr>
              <w:t xml:space="preserve"> Fondos de Terceros en Garantía</w:t>
            </w:r>
            <w:r w:rsidRPr="009831D5">
              <w:rPr>
                <w:rFonts w:ascii="Arial" w:hAnsi="Arial" w:cs="Arial"/>
                <w:sz w:val="17"/>
                <w:szCs w:val="17"/>
              </w:rPr>
              <w:t xml:space="preserve"> y/o Administración</w:t>
            </w:r>
          </w:p>
        </w:tc>
        <w:tc>
          <w:tcPr>
            <w:tcW w:w="2180" w:type="dxa"/>
            <w:tcBorders>
              <w:top w:val="single" w:sz="4" w:space="0" w:color="auto"/>
              <w:left w:val="nil"/>
              <w:bottom w:val="single" w:sz="4" w:space="0" w:color="auto"/>
              <w:right w:val="single" w:sz="4" w:space="0" w:color="auto"/>
            </w:tcBorders>
            <w:shd w:val="clear" w:color="auto" w:fill="auto"/>
          </w:tcPr>
          <w:p w:rsidR="00A704E2" w:rsidRPr="009831D5" w:rsidRDefault="00A704E2" w:rsidP="00A704E2">
            <w:pPr>
              <w:jc w:val="right"/>
              <w:rPr>
                <w:rFonts w:ascii="Arial" w:hAnsi="Arial" w:cs="Arial"/>
                <w:sz w:val="17"/>
                <w:szCs w:val="17"/>
              </w:rPr>
            </w:pPr>
            <w:r w:rsidRPr="00A704E2">
              <w:rPr>
                <w:rFonts w:ascii="Arial" w:hAnsi="Arial" w:cs="Arial"/>
                <w:sz w:val="17"/>
                <w:szCs w:val="17"/>
              </w:rPr>
              <w:t>48,718,173</w:t>
            </w:r>
          </w:p>
        </w:tc>
        <w:tc>
          <w:tcPr>
            <w:tcW w:w="2180" w:type="dxa"/>
            <w:tcBorders>
              <w:top w:val="single" w:sz="4" w:space="0" w:color="auto"/>
              <w:left w:val="nil"/>
              <w:bottom w:val="single" w:sz="4" w:space="0" w:color="auto"/>
              <w:right w:val="single" w:sz="4" w:space="0" w:color="auto"/>
            </w:tcBorders>
            <w:shd w:val="clear" w:color="auto" w:fill="auto"/>
          </w:tcPr>
          <w:p w:rsidR="00A704E2" w:rsidRPr="00A704E2" w:rsidRDefault="00A704E2" w:rsidP="00A704E2">
            <w:pPr>
              <w:jc w:val="right"/>
              <w:rPr>
                <w:rFonts w:ascii="Arial" w:hAnsi="Arial" w:cs="Arial"/>
                <w:sz w:val="17"/>
                <w:szCs w:val="17"/>
              </w:rPr>
            </w:pPr>
            <w:r w:rsidRPr="00A704E2">
              <w:rPr>
                <w:rFonts w:ascii="Arial" w:hAnsi="Arial" w:cs="Arial"/>
                <w:sz w:val="17"/>
                <w:szCs w:val="17"/>
              </w:rPr>
              <w:t xml:space="preserve"> 46,474,110 </w:t>
            </w:r>
          </w:p>
        </w:tc>
      </w:tr>
      <w:tr w:rsidR="00A704E2" w:rsidRPr="002D70DA" w:rsidTr="00A704E2">
        <w:trPr>
          <w:trHeight w:val="240"/>
          <w:jc w:val="center"/>
        </w:trPr>
        <w:tc>
          <w:tcPr>
            <w:tcW w:w="4900" w:type="dxa"/>
            <w:tcBorders>
              <w:top w:val="nil"/>
              <w:left w:val="nil"/>
              <w:bottom w:val="nil"/>
              <w:right w:val="single" w:sz="4" w:space="0" w:color="auto"/>
            </w:tcBorders>
            <w:shd w:val="clear" w:color="000000" w:fill="FFFFFF"/>
            <w:vAlign w:val="center"/>
            <w:hideMark/>
          </w:tcPr>
          <w:p w:rsidR="00A704E2" w:rsidRPr="002D70DA" w:rsidRDefault="00A704E2" w:rsidP="00A704E2">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A704E2" w:rsidRPr="009831D5" w:rsidRDefault="00A704E2" w:rsidP="00A704E2">
            <w:pPr>
              <w:jc w:val="right"/>
              <w:rPr>
                <w:rFonts w:ascii="Arial" w:hAnsi="Arial" w:cs="Arial"/>
                <w:b/>
                <w:sz w:val="17"/>
                <w:szCs w:val="17"/>
              </w:rPr>
            </w:pPr>
            <w:r w:rsidRPr="00A704E2">
              <w:rPr>
                <w:rFonts w:ascii="Arial" w:hAnsi="Arial" w:cs="Arial"/>
                <w:b/>
                <w:sz w:val="17"/>
                <w:szCs w:val="17"/>
              </w:rPr>
              <w:t>4,809,313,201</w:t>
            </w:r>
          </w:p>
        </w:tc>
        <w:tc>
          <w:tcPr>
            <w:tcW w:w="2180" w:type="dxa"/>
            <w:tcBorders>
              <w:top w:val="nil"/>
              <w:left w:val="single" w:sz="4" w:space="0" w:color="auto"/>
              <w:bottom w:val="single" w:sz="4" w:space="0" w:color="auto"/>
              <w:right w:val="single" w:sz="4" w:space="0" w:color="auto"/>
            </w:tcBorders>
            <w:shd w:val="clear" w:color="000000" w:fill="FFFFFF"/>
          </w:tcPr>
          <w:p w:rsidR="00A704E2" w:rsidRPr="00A704E2" w:rsidRDefault="00A704E2" w:rsidP="00A704E2">
            <w:pPr>
              <w:jc w:val="right"/>
              <w:rPr>
                <w:rFonts w:ascii="Arial" w:hAnsi="Arial" w:cs="Arial"/>
                <w:b/>
                <w:sz w:val="17"/>
                <w:szCs w:val="17"/>
              </w:rPr>
            </w:pPr>
            <w:r w:rsidRPr="00A704E2">
              <w:rPr>
                <w:rFonts w:ascii="Arial" w:hAnsi="Arial" w:cs="Arial"/>
                <w:b/>
                <w:sz w:val="17"/>
                <w:szCs w:val="17"/>
              </w:rPr>
              <w:t xml:space="preserve"> 6,243,067,673 </w:t>
            </w:r>
          </w:p>
        </w:tc>
      </w:tr>
    </w:tbl>
    <w:p w:rsidR="006C5E04" w:rsidRDefault="009831D5" w:rsidP="007B37D9">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 xml:space="preserve">Se presenta un decremento del </w:t>
      </w:r>
      <w:r w:rsidR="000F7647" w:rsidRPr="000F7647">
        <w:rPr>
          <w:rFonts w:ascii="Arial" w:eastAsia="Calibri" w:hAnsi="Arial" w:cs="Arial"/>
          <w:spacing w:val="-1"/>
          <w:sz w:val="17"/>
          <w:szCs w:val="17"/>
        </w:rPr>
        <w:t>2</w:t>
      </w:r>
      <w:r w:rsidR="007858B3">
        <w:rPr>
          <w:rFonts w:ascii="Arial" w:eastAsia="Calibri" w:hAnsi="Arial" w:cs="Arial"/>
          <w:spacing w:val="-1"/>
          <w:sz w:val="17"/>
          <w:szCs w:val="17"/>
        </w:rPr>
        <w:t>3</w:t>
      </w:r>
      <w:r w:rsidR="000F7647" w:rsidRPr="000F7647">
        <w:rPr>
          <w:rFonts w:ascii="Arial" w:eastAsia="Calibri" w:hAnsi="Arial" w:cs="Arial"/>
          <w:spacing w:val="-1"/>
          <w:sz w:val="17"/>
          <w:szCs w:val="17"/>
        </w:rPr>
        <w:t xml:space="preserve">% en el rubro de efectivo y equivalentes derivado principalmente en la disminución en el rubro de </w:t>
      </w:r>
      <w:r w:rsidR="007858B3" w:rsidRPr="007858B3">
        <w:rPr>
          <w:rFonts w:ascii="Arial" w:eastAsia="Calibri" w:hAnsi="Arial" w:cs="Arial"/>
          <w:spacing w:val="-1"/>
          <w:sz w:val="17"/>
          <w:szCs w:val="17"/>
        </w:rPr>
        <w:t>Bancos/Tesorería</w:t>
      </w:r>
      <w:r w:rsidR="00E505C6">
        <w:rPr>
          <w:rFonts w:ascii="Arial" w:eastAsia="Calibri" w:hAnsi="Arial" w:cs="Arial"/>
          <w:spacing w:val="-1"/>
          <w:sz w:val="17"/>
          <w:szCs w:val="17"/>
        </w:rPr>
        <w:t xml:space="preserve"> por parte del Poder Ejecutivo</w:t>
      </w:r>
      <w:r w:rsidR="000F7647" w:rsidRPr="000F7647">
        <w:rPr>
          <w:rFonts w:ascii="Arial" w:eastAsia="Calibri" w:hAnsi="Arial" w:cs="Arial"/>
          <w:spacing w:val="-1"/>
          <w:sz w:val="17"/>
          <w:szCs w:val="17"/>
        </w:rPr>
        <w:t>.</w:t>
      </w:r>
    </w:p>
    <w:p w:rsidR="006C5E04" w:rsidRDefault="006C5E04">
      <w:pPr>
        <w:rPr>
          <w:rFonts w:ascii="Arial" w:eastAsia="Calibri" w:hAnsi="Arial" w:cs="Arial"/>
          <w:spacing w:val="-1"/>
          <w:sz w:val="17"/>
          <w:szCs w:val="17"/>
        </w:rPr>
      </w:pPr>
      <w:r>
        <w:rPr>
          <w:rFonts w:ascii="Arial" w:eastAsia="Calibri" w:hAnsi="Arial" w:cs="Arial"/>
          <w:spacing w:val="-1"/>
          <w:sz w:val="17"/>
          <w:szCs w:val="17"/>
        </w:rPr>
        <w:br w:type="page"/>
      </w:r>
    </w:p>
    <w:p w:rsidR="00180288" w:rsidRDefault="006C5E04" w:rsidP="007B37D9">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lastRenderedPageBreak/>
        <w:t>La cual está distribuido de la siguiente manera:</w:t>
      </w:r>
    </w:p>
    <w:p w:rsidR="006C5E04" w:rsidRPr="002D70DA" w:rsidRDefault="006C5E04" w:rsidP="006C5E04">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6C5E04" w:rsidRPr="002D70DA" w:rsidTr="005E630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5E04" w:rsidRPr="002D70DA" w:rsidRDefault="006C5E04" w:rsidP="002A78B5">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6C5E04" w:rsidRPr="002D70DA" w:rsidRDefault="00FD7D84" w:rsidP="002A78B5">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6C5E04" w:rsidRPr="002D70DA" w:rsidRDefault="00FD7D84" w:rsidP="002A78B5">
            <w:pPr>
              <w:jc w:val="center"/>
              <w:rPr>
                <w:rFonts w:ascii="Arial" w:hAnsi="Arial" w:cs="Arial"/>
                <w:b/>
                <w:bCs/>
                <w:color w:val="000000"/>
                <w:sz w:val="17"/>
                <w:szCs w:val="17"/>
              </w:rPr>
            </w:pPr>
            <w:r>
              <w:rPr>
                <w:rFonts w:ascii="Arial" w:hAnsi="Arial" w:cs="Arial"/>
                <w:b/>
                <w:bCs/>
                <w:color w:val="000000"/>
                <w:sz w:val="17"/>
                <w:szCs w:val="17"/>
              </w:rPr>
              <w:t>2019</w:t>
            </w:r>
          </w:p>
        </w:tc>
      </w:tr>
      <w:tr w:rsidR="005E6305" w:rsidRPr="002D70DA" w:rsidTr="005E630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E6305" w:rsidRPr="00C34218" w:rsidRDefault="005E6305" w:rsidP="005E6305">
            <w:pPr>
              <w:rPr>
                <w:rFonts w:ascii="Arial" w:hAnsi="Arial" w:cs="Arial"/>
                <w:b/>
                <w:sz w:val="17"/>
                <w:szCs w:val="17"/>
              </w:rPr>
            </w:pPr>
            <w:bookmarkStart w:id="0" w:name="OLE_LINK4"/>
            <w:r w:rsidRPr="00C34218">
              <w:rPr>
                <w:rFonts w:ascii="Arial" w:hAnsi="Arial" w:cs="Arial"/>
                <w:b/>
                <w:sz w:val="17"/>
                <w:szCs w:val="17"/>
              </w:rPr>
              <w:t>Poder Ejecutivo</w:t>
            </w:r>
            <w:bookmarkEnd w:id="0"/>
          </w:p>
        </w:tc>
        <w:tc>
          <w:tcPr>
            <w:tcW w:w="2180" w:type="dxa"/>
            <w:tcBorders>
              <w:top w:val="single" w:sz="4" w:space="0" w:color="auto"/>
              <w:left w:val="nil"/>
              <w:bottom w:val="single" w:sz="4" w:space="0" w:color="auto"/>
              <w:right w:val="single" w:sz="4" w:space="0" w:color="auto"/>
            </w:tcBorders>
            <w:shd w:val="clear" w:color="auto" w:fill="auto"/>
          </w:tcPr>
          <w:p w:rsidR="005E6305" w:rsidRPr="005E6305" w:rsidRDefault="005E6305" w:rsidP="005E6305">
            <w:pPr>
              <w:jc w:val="right"/>
              <w:rPr>
                <w:rFonts w:ascii="Arial" w:hAnsi="Arial" w:cs="Arial"/>
                <w:b/>
                <w:sz w:val="17"/>
                <w:szCs w:val="17"/>
              </w:rPr>
            </w:pPr>
            <w:r w:rsidRPr="005E6305">
              <w:rPr>
                <w:rFonts w:ascii="Arial" w:hAnsi="Arial" w:cs="Arial"/>
                <w:b/>
                <w:sz w:val="17"/>
                <w:szCs w:val="17"/>
              </w:rPr>
              <w:t xml:space="preserve">4,472,684,688 </w:t>
            </w:r>
          </w:p>
        </w:tc>
        <w:tc>
          <w:tcPr>
            <w:tcW w:w="2180" w:type="dxa"/>
            <w:tcBorders>
              <w:top w:val="single" w:sz="4" w:space="0" w:color="auto"/>
              <w:left w:val="nil"/>
              <w:bottom w:val="single" w:sz="4" w:space="0" w:color="auto"/>
              <w:right w:val="single" w:sz="4" w:space="0" w:color="auto"/>
            </w:tcBorders>
            <w:shd w:val="clear" w:color="auto" w:fill="auto"/>
          </w:tcPr>
          <w:p w:rsidR="005E6305" w:rsidRPr="005E6305" w:rsidRDefault="005E6305" w:rsidP="005E6305">
            <w:pPr>
              <w:jc w:val="right"/>
              <w:rPr>
                <w:rFonts w:ascii="Arial" w:hAnsi="Arial" w:cs="Arial"/>
                <w:b/>
                <w:sz w:val="17"/>
                <w:szCs w:val="17"/>
              </w:rPr>
            </w:pPr>
            <w:r w:rsidRPr="005E6305">
              <w:rPr>
                <w:rFonts w:ascii="Arial" w:hAnsi="Arial" w:cs="Arial"/>
                <w:b/>
                <w:sz w:val="17"/>
                <w:szCs w:val="17"/>
              </w:rPr>
              <w:t xml:space="preserve">5,998,176,043 </w:t>
            </w:r>
          </w:p>
        </w:tc>
      </w:tr>
      <w:tr w:rsidR="005E6305" w:rsidRPr="002D70DA" w:rsidTr="005E630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E6305" w:rsidRPr="00C34218" w:rsidRDefault="005E6305" w:rsidP="005E6305">
            <w:pPr>
              <w:rPr>
                <w:rFonts w:ascii="Arial" w:hAnsi="Arial" w:cs="Arial"/>
                <w:b/>
                <w:sz w:val="17"/>
                <w:szCs w:val="17"/>
              </w:rPr>
            </w:pPr>
            <w:bookmarkStart w:id="1" w:name="OLE_LINK3"/>
            <w:r w:rsidRPr="00C34218">
              <w:rPr>
                <w:rFonts w:ascii="Arial" w:hAnsi="Arial" w:cs="Arial"/>
                <w:b/>
                <w:sz w:val="17"/>
                <w:szCs w:val="17"/>
              </w:rPr>
              <w:t>Poder Judicial</w:t>
            </w:r>
            <w:bookmarkEnd w:id="1"/>
          </w:p>
        </w:tc>
        <w:tc>
          <w:tcPr>
            <w:tcW w:w="2180" w:type="dxa"/>
            <w:tcBorders>
              <w:top w:val="single" w:sz="4" w:space="0" w:color="auto"/>
              <w:left w:val="nil"/>
              <w:bottom w:val="single" w:sz="4" w:space="0" w:color="auto"/>
              <w:right w:val="single" w:sz="4" w:space="0" w:color="auto"/>
            </w:tcBorders>
            <w:shd w:val="clear" w:color="auto" w:fill="auto"/>
          </w:tcPr>
          <w:p w:rsidR="005E6305" w:rsidRPr="005E6305" w:rsidRDefault="005E6305" w:rsidP="005E6305">
            <w:pPr>
              <w:jc w:val="right"/>
              <w:rPr>
                <w:rFonts w:ascii="Arial" w:hAnsi="Arial" w:cs="Arial"/>
                <w:b/>
                <w:sz w:val="17"/>
                <w:szCs w:val="17"/>
              </w:rPr>
            </w:pPr>
            <w:r w:rsidRPr="005E6305">
              <w:rPr>
                <w:rFonts w:ascii="Arial" w:hAnsi="Arial" w:cs="Arial"/>
                <w:b/>
                <w:sz w:val="17"/>
                <w:szCs w:val="17"/>
              </w:rPr>
              <w:t xml:space="preserve">84,173,822 </w:t>
            </w:r>
          </w:p>
        </w:tc>
        <w:tc>
          <w:tcPr>
            <w:tcW w:w="2180" w:type="dxa"/>
            <w:tcBorders>
              <w:top w:val="single" w:sz="4" w:space="0" w:color="auto"/>
              <w:left w:val="nil"/>
              <w:bottom w:val="single" w:sz="4" w:space="0" w:color="auto"/>
              <w:right w:val="single" w:sz="4" w:space="0" w:color="auto"/>
            </w:tcBorders>
            <w:shd w:val="clear" w:color="auto" w:fill="auto"/>
          </w:tcPr>
          <w:p w:rsidR="005E6305" w:rsidRPr="005E6305" w:rsidRDefault="005E6305" w:rsidP="005E6305">
            <w:pPr>
              <w:jc w:val="right"/>
              <w:rPr>
                <w:rFonts w:ascii="Arial" w:hAnsi="Arial" w:cs="Arial"/>
                <w:b/>
                <w:sz w:val="17"/>
                <w:szCs w:val="17"/>
              </w:rPr>
            </w:pPr>
            <w:r w:rsidRPr="005E6305">
              <w:rPr>
                <w:rFonts w:ascii="Arial" w:hAnsi="Arial" w:cs="Arial"/>
                <w:b/>
                <w:sz w:val="17"/>
                <w:szCs w:val="17"/>
              </w:rPr>
              <w:t xml:space="preserve">85,727,850 </w:t>
            </w:r>
          </w:p>
        </w:tc>
      </w:tr>
      <w:tr w:rsidR="005E6305" w:rsidRPr="002D70DA" w:rsidTr="005E630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E6305" w:rsidRPr="00C34218" w:rsidRDefault="005E6305" w:rsidP="005E6305">
            <w:pPr>
              <w:rPr>
                <w:rFonts w:ascii="Arial" w:hAnsi="Arial" w:cs="Arial"/>
                <w:b/>
                <w:sz w:val="17"/>
                <w:szCs w:val="17"/>
              </w:rPr>
            </w:pPr>
            <w:bookmarkStart w:id="2" w:name="OLE_LINK2"/>
            <w:r w:rsidRPr="00C34218">
              <w:rPr>
                <w:rFonts w:ascii="Arial" w:hAnsi="Arial" w:cs="Arial"/>
                <w:b/>
                <w:sz w:val="17"/>
                <w:szCs w:val="17"/>
              </w:rPr>
              <w:t>Poder Legislativo</w:t>
            </w:r>
            <w:bookmarkEnd w:id="2"/>
          </w:p>
        </w:tc>
        <w:tc>
          <w:tcPr>
            <w:tcW w:w="2180" w:type="dxa"/>
            <w:tcBorders>
              <w:top w:val="single" w:sz="4" w:space="0" w:color="auto"/>
              <w:left w:val="nil"/>
              <w:bottom w:val="single" w:sz="4" w:space="0" w:color="auto"/>
              <w:right w:val="single" w:sz="4" w:space="0" w:color="auto"/>
            </w:tcBorders>
            <w:shd w:val="clear" w:color="auto" w:fill="auto"/>
          </w:tcPr>
          <w:p w:rsidR="005E6305" w:rsidRPr="005E6305" w:rsidRDefault="005E6305" w:rsidP="005E6305">
            <w:pPr>
              <w:jc w:val="right"/>
              <w:rPr>
                <w:rFonts w:ascii="Arial" w:hAnsi="Arial" w:cs="Arial"/>
                <w:b/>
                <w:sz w:val="17"/>
                <w:szCs w:val="17"/>
              </w:rPr>
            </w:pPr>
            <w:r w:rsidRPr="005E6305">
              <w:rPr>
                <w:rFonts w:ascii="Arial" w:hAnsi="Arial" w:cs="Arial"/>
                <w:b/>
                <w:sz w:val="17"/>
                <w:szCs w:val="17"/>
              </w:rPr>
              <w:t xml:space="preserve">68,508,934 </w:t>
            </w:r>
          </w:p>
        </w:tc>
        <w:tc>
          <w:tcPr>
            <w:tcW w:w="2180" w:type="dxa"/>
            <w:tcBorders>
              <w:top w:val="single" w:sz="4" w:space="0" w:color="auto"/>
              <w:left w:val="nil"/>
              <w:bottom w:val="single" w:sz="4" w:space="0" w:color="auto"/>
              <w:right w:val="single" w:sz="4" w:space="0" w:color="auto"/>
            </w:tcBorders>
            <w:shd w:val="clear" w:color="auto" w:fill="auto"/>
          </w:tcPr>
          <w:p w:rsidR="005E6305" w:rsidRPr="005E6305" w:rsidRDefault="005E6305" w:rsidP="005E6305">
            <w:pPr>
              <w:jc w:val="right"/>
              <w:rPr>
                <w:rFonts w:ascii="Arial" w:hAnsi="Arial" w:cs="Arial"/>
                <w:b/>
                <w:sz w:val="17"/>
                <w:szCs w:val="17"/>
              </w:rPr>
            </w:pPr>
            <w:r w:rsidRPr="005E6305">
              <w:rPr>
                <w:rFonts w:ascii="Arial" w:hAnsi="Arial" w:cs="Arial"/>
                <w:b/>
                <w:sz w:val="17"/>
                <w:szCs w:val="17"/>
              </w:rPr>
              <w:t xml:space="preserve">53,228,055 </w:t>
            </w:r>
          </w:p>
        </w:tc>
      </w:tr>
      <w:tr w:rsidR="005E6305" w:rsidRPr="002D70DA" w:rsidTr="005E630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E6305" w:rsidRPr="00C34218" w:rsidRDefault="005E6305" w:rsidP="005E6305">
            <w:pPr>
              <w:rPr>
                <w:rFonts w:ascii="Arial" w:hAnsi="Arial" w:cs="Arial"/>
                <w:b/>
                <w:sz w:val="17"/>
                <w:szCs w:val="17"/>
              </w:rPr>
            </w:pPr>
            <w:bookmarkStart w:id="3" w:name="OLE_LINK1"/>
            <w:r w:rsidRPr="00C34218">
              <w:rPr>
                <w:rFonts w:ascii="Arial" w:hAnsi="Arial" w:cs="Arial"/>
                <w:b/>
                <w:sz w:val="17"/>
                <w:szCs w:val="17"/>
              </w:rPr>
              <w:t>Órganos Autónomos</w:t>
            </w:r>
            <w:bookmarkEnd w:id="3"/>
          </w:p>
        </w:tc>
        <w:tc>
          <w:tcPr>
            <w:tcW w:w="2180" w:type="dxa"/>
            <w:tcBorders>
              <w:top w:val="single" w:sz="4" w:space="0" w:color="auto"/>
              <w:left w:val="nil"/>
              <w:bottom w:val="single" w:sz="4" w:space="0" w:color="auto"/>
              <w:right w:val="single" w:sz="4" w:space="0" w:color="auto"/>
            </w:tcBorders>
            <w:shd w:val="clear" w:color="auto" w:fill="auto"/>
          </w:tcPr>
          <w:p w:rsidR="005E6305" w:rsidRPr="005E6305" w:rsidRDefault="005E6305" w:rsidP="005E6305">
            <w:pPr>
              <w:jc w:val="right"/>
              <w:rPr>
                <w:rFonts w:ascii="Arial" w:hAnsi="Arial" w:cs="Arial"/>
                <w:b/>
                <w:sz w:val="17"/>
                <w:szCs w:val="17"/>
              </w:rPr>
            </w:pPr>
            <w:r w:rsidRPr="005E6305">
              <w:rPr>
                <w:rFonts w:ascii="Arial" w:hAnsi="Arial" w:cs="Arial"/>
                <w:b/>
                <w:sz w:val="17"/>
                <w:szCs w:val="17"/>
              </w:rPr>
              <w:t xml:space="preserve">183,945,756 </w:t>
            </w:r>
          </w:p>
        </w:tc>
        <w:tc>
          <w:tcPr>
            <w:tcW w:w="2180" w:type="dxa"/>
            <w:tcBorders>
              <w:top w:val="single" w:sz="4" w:space="0" w:color="auto"/>
              <w:left w:val="nil"/>
              <w:bottom w:val="single" w:sz="4" w:space="0" w:color="auto"/>
              <w:right w:val="single" w:sz="4" w:space="0" w:color="auto"/>
            </w:tcBorders>
            <w:shd w:val="clear" w:color="auto" w:fill="auto"/>
          </w:tcPr>
          <w:p w:rsidR="005E6305" w:rsidRPr="005E6305" w:rsidRDefault="005E6305" w:rsidP="005E6305">
            <w:pPr>
              <w:jc w:val="right"/>
              <w:rPr>
                <w:rFonts w:ascii="Arial" w:hAnsi="Arial" w:cs="Arial"/>
                <w:b/>
                <w:sz w:val="17"/>
                <w:szCs w:val="17"/>
              </w:rPr>
            </w:pPr>
            <w:r w:rsidRPr="005E6305">
              <w:rPr>
                <w:rFonts w:ascii="Arial" w:hAnsi="Arial" w:cs="Arial"/>
                <w:b/>
                <w:sz w:val="17"/>
                <w:szCs w:val="17"/>
              </w:rPr>
              <w:t xml:space="preserve">105,935,725 </w:t>
            </w:r>
          </w:p>
        </w:tc>
      </w:tr>
      <w:tr w:rsidR="005E6305" w:rsidRPr="002D70DA" w:rsidTr="005E630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E6305" w:rsidRPr="00C34218" w:rsidRDefault="005E6305" w:rsidP="005E6305">
            <w:pPr>
              <w:ind w:left="497"/>
              <w:rPr>
                <w:rFonts w:ascii="Arial" w:hAnsi="Arial" w:cs="Arial"/>
                <w:sz w:val="17"/>
                <w:szCs w:val="17"/>
              </w:rPr>
            </w:pPr>
            <w:r w:rsidRPr="00C34218">
              <w:rPr>
                <w:rFonts w:ascii="Arial" w:hAnsi="Arial" w:cs="Arial"/>
                <w:sz w:val="17"/>
                <w:szCs w:val="17"/>
              </w:rPr>
              <w:t>Comisión de Transparencia y Acceso a la</w:t>
            </w:r>
          </w:p>
          <w:p w:rsidR="005E6305" w:rsidRPr="00560A6D" w:rsidRDefault="005E6305" w:rsidP="005E6305">
            <w:pPr>
              <w:ind w:left="497"/>
              <w:rPr>
                <w:rFonts w:ascii="Arial" w:hAnsi="Arial" w:cs="Arial"/>
                <w:sz w:val="17"/>
                <w:szCs w:val="17"/>
              </w:rPr>
            </w:pPr>
            <w:r w:rsidRPr="00C34218">
              <w:rPr>
                <w:rFonts w:ascii="Arial" w:hAnsi="Arial" w:cs="Arial"/>
                <w:sz w:val="17"/>
                <w:szCs w:val="17"/>
              </w:rPr>
              <w:t>Información Pública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5E6305" w:rsidRPr="005E6305" w:rsidRDefault="005E6305" w:rsidP="005E6305">
            <w:pPr>
              <w:jc w:val="right"/>
              <w:rPr>
                <w:rFonts w:ascii="Arial" w:hAnsi="Arial" w:cs="Arial"/>
                <w:sz w:val="17"/>
                <w:szCs w:val="17"/>
              </w:rPr>
            </w:pPr>
            <w:r w:rsidRPr="005E6305">
              <w:rPr>
                <w:rFonts w:ascii="Arial" w:hAnsi="Arial" w:cs="Arial"/>
                <w:sz w:val="17"/>
                <w:szCs w:val="17"/>
              </w:rPr>
              <w:t xml:space="preserve">1,358,857 </w:t>
            </w:r>
          </w:p>
        </w:tc>
        <w:tc>
          <w:tcPr>
            <w:tcW w:w="2180" w:type="dxa"/>
            <w:tcBorders>
              <w:top w:val="single" w:sz="4" w:space="0" w:color="auto"/>
              <w:left w:val="nil"/>
              <w:bottom w:val="single" w:sz="4" w:space="0" w:color="auto"/>
              <w:right w:val="single" w:sz="4" w:space="0" w:color="auto"/>
            </w:tcBorders>
            <w:shd w:val="clear" w:color="auto" w:fill="auto"/>
          </w:tcPr>
          <w:p w:rsidR="005E6305" w:rsidRPr="005E6305" w:rsidRDefault="005E6305" w:rsidP="005E6305">
            <w:pPr>
              <w:jc w:val="right"/>
              <w:rPr>
                <w:rFonts w:ascii="Arial" w:hAnsi="Arial" w:cs="Arial"/>
                <w:sz w:val="17"/>
                <w:szCs w:val="17"/>
              </w:rPr>
            </w:pPr>
            <w:r w:rsidRPr="005E6305">
              <w:rPr>
                <w:rFonts w:ascii="Arial" w:hAnsi="Arial" w:cs="Arial"/>
                <w:sz w:val="17"/>
                <w:szCs w:val="17"/>
              </w:rPr>
              <w:t xml:space="preserve">463,299 </w:t>
            </w:r>
          </w:p>
        </w:tc>
      </w:tr>
      <w:tr w:rsidR="005E6305" w:rsidRPr="002D70DA" w:rsidTr="005E630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E6305" w:rsidRPr="00560A6D" w:rsidRDefault="005E6305" w:rsidP="005E6305">
            <w:pPr>
              <w:ind w:left="497"/>
              <w:rPr>
                <w:rFonts w:ascii="Arial" w:hAnsi="Arial" w:cs="Arial"/>
                <w:sz w:val="17"/>
                <w:szCs w:val="17"/>
              </w:rPr>
            </w:pPr>
            <w:r w:rsidRPr="00C34218">
              <w:rPr>
                <w:rFonts w:ascii="Arial" w:hAnsi="Arial" w:cs="Arial"/>
                <w:sz w:val="17"/>
                <w:szCs w:val="17"/>
              </w:rPr>
              <w:t>Defensoría de los Derechos Humanos de Querétaro</w:t>
            </w:r>
          </w:p>
        </w:tc>
        <w:tc>
          <w:tcPr>
            <w:tcW w:w="2180" w:type="dxa"/>
            <w:tcBorders>
              <w:top w:val="single" w:sz="4" w:space="0" w:color="auto"/>
              <w:left w:val="nil"/>
              <w:bottom w:val="single" w:sz="4" w:space="0" w:color="auto"/>
              <w:right w:val="single" w:sz="4" w:space="0" w:color="auto"/>
            </w:tcBorders>
            <w:shd w:val="clear" w:color="auto" w:fill="auto"/>
          </w:tcPr>
          <w:p w:rsidR="005E6305" w:rsidRPr="005E6305" w:rsidRDefault="005E6305" w:rsidP="005E6305">
            <w:pPr>
              <w:jc w:val="right"/>
              <w:rPr>
                <w:rFonts w:ascii="Arial" w:hAnsi="Arial" w:cs="Arial"/>
                <w:sz w:val="17"/>
                <w:szCs w:val="17"/>
              </w:rPr>
            </w:pPr>
            <w:r w:rsidRPr="005E6305">
              <w:rPr>
                <w:rFonts w:ascii="Arial" w:hAnsi="Arial" w:cs="Arial"/>
                <w:sz w:val="17"/>
                <w:szCs w:val="17"/>
              </w:rPr>
              <w:t xml:space="preserve">5,265,090 </w:t>
            </w:r>
          </w:p>
        </w:tc>
        <w:tc>
          <w:tcPr>
            <w:tcW w:w="2180" w:type="dxa"/>
            <w:tcBorders>
              <w:top w:val="single" w:sz="4" w:space="0" w:color="auto"/>
              <w:left w:val="nil"/>
              <w:bottom w:val="single" w:sz="4" w:space="0" w:color="auto"/>
              <w:right w:val="single" w:sz="4" w:space="0" w:color="auto"/>
            </w:tcBorders>
            <w:shd w:val="clear" w:color="auto" w:fill="auto"/>
          </w:tcPr>
          <w:p w:rsidR="005E6305" w:rsidRPr="005E6305" w:rsidRDefault="005E6305" w:rsidP="005E6305">
            <w:pPr>
              <w:jc w:val="right"/>
              <w:rPr>
                <w:rFonts w:ascii="Arial" w:hAnsi="Arial" w:cs="Arial"/>
                <w:sz w:val="17"/>
                <w:szCs w:val="17"/>
              </w:rPr>
            </w:pPr>
            <w:r w:rsidRPr="005E6305">
              <w:rPr>
                <w:rFonts w:ascii="Arial" w:hAnsi="Arial" w:cs="Arial"/>
                <w:sz w:val="17"/>
                <w:szCs w:val="17"/>
              </w:rPr>
              <w:t xml:space="preserve">2,423,323 </w:t>
            </w:r>
          </w:p>
        </w:tc>
      </w:tr>
      <w:tr w:rsidR="005E6305" w:rsidRPr="002D70DA" w:rsidTr="005E630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E6305" w:rsidRPr="00C34218" w:rsidRDefault="005E6305" w:rsidP="005E6305">
            <w:pPr>
              <w:ind w:left="497"/>
              <w:rPr>
                <w:rFonts w:ascii="Arial" w:hAnsi="Arial" w:cs="Arial"/>
                <w:sz w:val="17"/>
                <w:szCs w:val="17"/>
              </w:rPr>
            </w:pPr>
            <w:r w:rsidRPr="00C34218">
              <w:rPr>
                <w:rFonts w:ascii="Arial" w:hAnsi="Arial" w:cs="Arial"/>
                <w:sz w:val="17"/>
                <w:szCs w:val="17"/>
              </w:rPr>
              <w:t>Entidad Superior de Fiscalización del Estado de</w:t>
            </w:r>
          </w:p>
          <w:p w:rsidR="005E6305" w:rsidRPr="00C34218" w:rsidRDefault="005E6305" w:rsidP="005E6305">
            <w:pPr>
              <w:ind w:left="497"/>
              <w:rPr>
                <w:rFonts w:ascii="Arial" w:hAnsi="Arial" w:cs="Arial"/>
                <w:sz w:val="17"/>
                <w:szCs w:val="17"/>
              </w:rPr>
            </w:pPr>
            <w:r w:rsidRPr="00C34218">
              <w:rPr>
                <w:rFonts w:ascii="Arial" w:hAnsi="Arial" w:cs="Arial"/>
                <w:sz w:val="17"/>
                <w:szCs w:val="17"/>
              </w:rPr>
              <w:t>Querétaro</w:t>
            </w:r>
          </w:p>
        </w:tc>
        <w:tc>
          <w:tcPr>
            <w:tcW w:w="2180" w:type="dxa"/>
            <w:tcBorders>
              <w:top w:val="single" w:sz="4" w:space="0" w:color="auto"/>
              <w:left w:val="nil"/>
              <w:bottom w:val="single" w:sz="4" w:space="0" w:color="auto"/>
              <w:right w:val="single" w:sz="4" w:space="0" w:color="auto"/>
            </w:tcBorders>
            <w:shd w:val="clear" w:color="auto" w:fill="auto"/>
          </w:tcPr>
          <w:p w:rsidR="005E6305" w:rsidRPr="005E6305" w:rsidRDefault="005E6305" w:rsidP="005E6305">
            <w:pPr>
              <w:jc w:val="right"/>
              <w:rPr>
                <w:rFonts w:ascii="Arial" w:hAnsi="Arial" w:cs="Arial"/>
                <w:sz w:val="17"/>
                <w:szCs w:val="17"/>
              </w:rPr>
            </w:pPr>
            <w:r w:rsidRPr="005E6305">
              <w:rPr>
                <w:rFonts w:ascii="Arial" w:hAnsi="Arial" w:cs="Arial"/>
                <w:sz w:val="17"/>
                <w:szCs w:val="17"/>
              </w:rPr>
              <w:t xml:space="preserve">7,159,962 </w:t>
            </w:r>
          </w:p>
        </w:tc>
        <w:tc>
          <w:tcPr>
            <w:tcW w:w="2180" w:type="dxa"/>
            <w:tcBorders>
              <w:top w:val="single" w:sz="4" w:space="0" w:color="auto"/>
              <w:left w:val="nil"/>
              <w:bottom w:val="single" w:sz="4" w:space="0" w:color="auto"/>
              <w:right w:val="single" w:sz="4" w:space="0" w:color="auto"/>
            </w:tcBorders>
            <w:shd w:val="clear" w:color="auto" w:fill="auto"/>
          </w:tcPr>
          <w:p w:rsidR="005E6305" w:rsidRPr="005E6305" w:rsidRDefault="005E6305" w:rsidP="005E6305">
            <w:pPr>
              <w:jc w:val="right"/>
              <w:rPr>
                <w:rFonts w:ascii="Arial" w:hAnsi="Arial" w:cs="Arial"/>
                <w:sz w:val="17"/>
                <w:szCs w:val="17"/>
              </w:rPr>
            </w:pPr>
            <w:r w:rsidRPr="005E6305">
              <w:rPr>
                <w:rFonts w:ascii="Arial" w:hAnsi="Arial" w:cs="Arial"/>
                <w:sz w:val="17"/>
                <w:szCs w:val="17"/>
              </w:rPr>
              <w:t xml:space="preserve">5,159,482 </w:t>
            </w:r>
          </w:p>
        </w:tc>
      </w:tr>
      <w:tr w:rsidR="005E6305" w:rsidRPr="002D70DA" w:rsidTr="005E630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E6305" w:rsidRPr="00C34218" w:rsidRDefault="005E6305" w:rsidP="005E6305">
            <w:pPr>
              <w:ind w:left="497"/>
              <w:rPr>
                <w:rFonts w:ascii="Arial" w:hAnsi="Arial" w:cs="Arial"/>
                <w:sz w:val="17"/>
                <w:szCs w:val="17"/>
              </w:rPr>
            </w:pPr>
            <w:r w:rsidRPr="00C34218">
              <w:rPr>
                <w:rFonts w:ascii="Arial" w:hAnsi="Arial" w:cs="Arial"/>
                <w:sz w:val="17"/>
                <w:szCs w:val="17"/>
              </w:rPr>
              <w:t>Fiscalía General del Estado</w:t>
            </w:r>
          </w:p>
        </w:tc>
        <w:tc>
          <w:tcPr>
            <w:tcW w:w="2180" w:type="dxa"/>
            <w:tcBorders>
              <w:top w:val="single" w:sz="4" w:space="0" w:color="auto"/>
              <w:left w:val="nil"/>
              <w:bottom w:val="single" w:sz="4" w:space="0" w:color="auto"/>
              <w:right w:val="single" w:sz="4" w:space="0" w:color="auto"/>
            </w:tcBorders>
            <w:shd w:val="clear" w:color="auto" w:fill="auto"/>
          </w:tcPr>
          <w:p w:rsidR="005E6305" w:rsidRPr="005E6305" w:rsidRDefault="005E6305" w:rsidP="005E6305">
            <w:pPr>
              <w:jc w:val="right"/>
              <w:rPr>
                <w:rFonts w:ascii="Arial" w:hAnsi="Arial" w:cs="Arial"/>
                <w:sz w:val="17"/>
                <w:szCs w:val="17"/>
              </w:rPr>
            </w:pPr>
            <w:r w:rsidRPr="005E6305">
              <w:rPr>
                <w:rFonts w:ascii="Arial" w:hAnsi="Arial" w:cs="Arial"/>
                <w:sz w:val="17"/>
                <w:szCs w:val="17"/>
              </w:rPr>
              <w:t xml:space="preserve">155,351,989 </w:t>
            </w:r>
          </w:p>
        </w:tc>
        <w:tc>
          <w:tcPr>
            <w:tcW w:w="2180" w:type="dxa"/>
            <w:tcBorders>
              <w:top w:val="single" w:sz="4" w:space="0" w:color="auto"/>
              <w:left w:val="nil"/>
              <w:bottom w:val="single" w:sz="4" w:space="0" w:color="auto"/>
              <w:right w:val="single" w:sz="4" w:space="0" w:color="auto"/>
            </w:tcBorders>
            <w:shd w:val="clear" w:color="auto" w:fill="auto"/>
          </w:tcPr>
          <w:p w:rsidR="005E6305" w:rsidRPr="005E6305" w:rsidRDefault="005E6305" w:rsidP="005E6305">
            <w:pPr>
              <w:jc w:val="right"/>
              <w:rPr>
                <w:rFonts w:ascii="Arial" w:hAnsi="Arial" w:cs="Arial"/>
                <w:sz w:val="17"/>
                <w:szCs w:val="17"/>
              </w:rPr>
            </w:pPr>
            <w:r w:rsidRPr="005E6305">
              <w:rPr>
                <w:rFonts w:ascii="Arial" w:hAnsi="Arial" w:cs="Arial"/>
                <w:sz w:val="17"/>
                <w:szCs w:val="17"/>
              </w:rPr>
              <w:t xml:space="preserve">85,284,138 </w:t>
            </w:r>
          </w:p>
        </w:tc>
      </w:tr>
      <w:tr w:rsidR="005E6305" w:rsidRPr="002D70DA" w:rsidTr="005E630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E6305" w:rsidRPr="00560A6D" w:rsidRDefault="005E6305" w:rsidP="005E6305">
            <w:pPr>
              <w:ind w:left="497"/>
              <w:rPr>
                <w:rFonts w:ascii="Arial" w:hAnsi="Arial" w:cs="Arial"/>
                <w:sz w:val="17"/>
                <w:szCs w:val="17"/>
              </w:rPr>
            </w:pPr>
            <w:r w:rsidRPr="00C34218">
              <w:rPr>
                <w:rFonts w:ascii="Arial" w:hAnsi="Arial" w:cs="Arial"/>
                <w:sz w:val="17"/>
                <w:szCs w:val="17"/>
              </w:rPr>
              <w:t>Instituto Electoral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5E6305" w:rsidRPr="005E6305" w:rsidRDefault="005E6305" w:rsidP="005E6305">
            <w:pPr>
              <w:jc w:val="right"/>
              <w:rPr>
                <w:rFonts w:ascii="Arial" w:hAnsi="Arial" w:cs="Arial"/>
                <w:sz w:val="17"/>
                <w:szCs w:val="17"/>
              </w:rPr>
            </w:pPr>
            <w:r w:rsidRPr="005E6305">
              <w:rPr>
                <w:rFonts w:ascii="Arial" w:hAnsi="Arial" w:cs="Arial"/>
                <w:sz w:val="17"/>
                <w:szCs w:val="17"/>
              </w:rPr>
              <w:t xml:space="preserve">9,672,093 </w:t>
            </w:r>
          </w:p>
        </w:tc>
        <w:tc>
          <w:tcPr>
            <w:tcW w:w="2180" w:type="dxa"/>
            <w:tcBorders>
              <w:top w:val="single" w:sz="4" w:space="0" w:color="auto"/>
              <w:left w:val="nil"/>
              <w:bottom w:val="single" w:sz="4" w:space="0" w:color="auto"/>
              <w:right w:val="single" w:sz="4" w:space="0" w:color="auto"/>
            </w:tcBorders>
            <w:shd w:val="clear" w:color="auto" w:fill="auto"/>
          </w:tcPr>
          <w:p w:rsidR="005E6305" w:rsidRPr="005E6305" w:rsidRDefault="005E6305" w:rsidP="005E6305">
            <w:pPr>
              <w:jc w:val="right"/>
              <w:rPr>
                <w:rFonts w:ascii="Arial" w:hAnsi="Arial" w:cs="Arial"/>
                <w:sz w:val="17"/>
                <w:szCs w:val="17"/>
              </w:rPr>
            </w:pPr>
            <w:r w:rsidRPr="005E6305">
              <w:rPr>
                <w:rFonts w:ascii="Arial" w:hAnsi="Arial" w:cs="Arial"/>
                <w:sz w:val="17"/>
                <w:szCs w:val="17"/>
              </w:rPr>
              <w:t xml:space="preserve">9,104,530 </w:t>
            </w:r>
          </w:p>
        </w:tc>
      </w:tr>
      <w:tr w:rsidR="005E6305" w:rsidRPr="002D70DA" w:rsidTr="005E630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E6305" w:rsidRPr="00C34218" w:rsidRDefault="005E6305" w:rsidP="005E6305">
            <w:pPr>
              <w:ind w:left="497"/>
              <w:rPr>
                <w:rFonts w:ascii="Arial" w:hAnsi="Arial" w:cs="Arial"/>
                <w:sz w:val="17"/>
                <w:szCs w:val="17"/>
              </w:rPr>
            </w:pPr>
            <w:r w:rsidRPr="00C34218">
              <w:rPr>
                <w:rFonts w:ascii="Arial" w:hAnsi="Arial" w:cs="Arial"/>
                <w:sz w:val="17"/>
                <w:szCs w:val="17"/>
              </w:rPr>
              <w:t>Tribunal de Conciliación y Arbitraje</w:t>
            </w:r>
          </w:p>
        </w:tc>
        <w:tc>
          <w:tcPr>
            <w:tcW w:w="2180" w:type="dxa"/>
            <w:tcBorders>
              <w:top w:val="single" w:sz="4" w:space="0" w:color="auto"/>
              <w:left w:val="nil"/>
              <w:bottom w:val="single" w:sz="4" w:space="0" w:color="auto"/>
              <w:right w:val="single" w:sz="4" w:space="0" w:color="auto"/>
            </w:tcBorders>
            <w:shd w:val="clear" w:color="auto" w:fill="auto"/>
          </w:tcPr>
          <w:p w:rsidR="005E6305" w:rsidRPr="005E6305" w:rsidRDefault="005E6305" w:rsidP="005E6305">
            <w:pPr>
              <w:jc w:val="right"/>
              <w:rPr>
                <w:rFonts w:ascii="Arial" w:hAnsi="Arial" w:cs="Arial"/>
                <w:sz w:val="17"/>
                <w:szCs w:val="17"/>
              </w:rPr>
            </w:pPr>
            <w:r w:rsidRPr="005E6305">
              <w:rPr>
                <w:rFonts w:ascii="Arial" w:hAnsi="Arial" w:cs="Arial"/>
                <w:sz w:val="17"/>
                <w:szCs w:val="17"/>
              </w:rPr>
              <w:t xml:space="preserve">1,314,595 </w:t>
            </w:r>
          </w:p>
        </w:tc>
        <w:tc>
          <w:tcPr>
            <w:tcW w:w="2180" w:type="dxa"/>
            <w:tcBorders>
              <w:top w:val="single" w:sz="4" w:space="0" w:color="auto"/>
              <w:left w:val="nil"/>
              <w:bottom w:val="single" w:sz="4" w:space="0" w:color="auto"/>
              <w:right w:val="single" w:sz="4" w:space="0" w:color="auto"/>
            </w:tcBorders>
            <w:shd w:val="clear" w:color="auto" w:fill="auto"/>
          </w:tcPr>
          <w:p w:rsidR="005E6305" w:rsidRPr="005E6305" w:rsidRDefault="005E6305" w:rsidP="005E6305">
            <w:pPr>
              <w:jc w:val="right"/>
              <w:rPr>
                <w:rFonts w:ascii="Arial" w:hAnsi="Arial" w:cs="Arial"/>
                <w:sz w:val="17"/>
                <w:szCs w:val="17"/>
              </w:rPr>
            </w:pPr>
            <w:r w:rsidRPr="005E6305">
              <w:rPr>
                <w:rFonts w:ascii="Arial" w:hAnsi="Arial" w:cs="Arial"/>
                <w:sz w:val="17"/>
                <w:szCs w:val="17"/>
              </w:rPr>
              <w:t xml:space="preserve">1,291,357 </w:t>
            </w:r>
          </w:p>
        </w:tc>
      </w:tr>
      <w:tr w:rsidR="005E6305" w:rsidRPr="002D70DA" w:rsidTr="005E630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E6305" w:rsidRPr="00C34218" w:rsidRDefault="005E6305" w:rsidP="005E6305">
            <w:pPr>
              <w:ind w:left="497"/>
              <w:rPr>
                <w:rFonts w:ascii="Arial" w:hAnsi="Arial" w:cs="Arial"/>
                <w:sz w:val="17"/>
                <w:szCs w:val="17"/>
              </w:rPr>
            </w:pPr>
            <w:r w:rsidRPr="00C34218">
              <w:rPr>
                <w:rFonts w:ascii="Arial" w:hAnsi="Arial" w:cs="Arial"/>
                <w:sz w:val="17"/>
                <w:szCs w:val="17"/>
              </w:rPr>
              <w:t>Tribunal de Justicia Administrativa del Estado de</w:t>
            </w:r>
          </w:p>
          <w:p w:rsidR="005E6305" w:rsidRPr="00560A6D" w:rsidRDefault="005E6305" w:rsidP="005E6305">
            <w:pPr>
              <w:ind w:left="497"/>
              <w:rPr>
                <w:rFonts w:ascii="Arial" w:hAnsi="Arial" w:cs="Arial"/>
                <w:sz w:val="17"/>
                <w:szCs w:val="17"/>
              </w:rPr>
            </w:pPr>
            <w:r w:rsidRPr="00C34218">
              <w:rPr>
                <w:rFonts w:ascii="Arial" w:hAnsi="Arial" w:cs="Arial"/>
                <w:sz w:val="17"/>
                <w:szCs w:val="17"/>
              </w:rPr>
              <w:t>Querétaro</w:t>
            </w:r>
          </w:p>
        </w:tc>
        <w:tc>
          <w:tcPr>
            <w:tcW w:w="2180" w:type="dxa"/>
            <w:tcBorders>
              <w:top w:val="single" w:sz="4" w:space="0" w:color="auto"/>
              <w:left w:val="nil"/>
              <w:bottom w:val="single" w:sz="4" w:space="0" w:color="auto"/>
              <w:right w:val="single" w:sz="4" w:space="0" w:color="auto"/>
            </w:tcBorders>
            <w:shd w:val="clear" w:color="auto" w:fill="auto"/>
          </w:tcPr>
          <w:p w:rsidR="005E6305" w:rsidRPr="005E6305" w:rsidRDefault="005E6305" w:rsidP="005E6305">
            <w:pPr>
              <w:jc w:val="right"/>
              <w:rPr>
                <w:rFonts w:ascii="Arial" w:hAnsi="Arial" w:cs="Arial"/>
                <w:sz w:val="17"/>
                <w:szCs w:val="17"/>
              </w:rPr>
            </w:pPr>
            <w:r w:rsidRPr="005E6305">
              <w:rPr>
                <w:rFonts w:ascii="Arial" w:hAnsi="Arial" w:cs="Arial"/>
                <w:sz w:val="17"/>
                <w:szCs w:val="17"/>
              </w:rPr>
              <w:t xml:space="preserve">2,317,778 </w:t>
            </w:r>
          </w:p>
        </w:tc>
        <w:tc>
          <w:tcPr>
            <w:tcW w:w="2180" w:type="dxa"/>
            <w:tcBorders>
              <w:top w:val="single" w:sz="4" w:space="0" w:color="auto"/>
              <w:left w:val="nil"/>
              <w:bottom w:val="single" w:sz="4" w:space="0" w:color="auto"/>
              <w:right w:val="single" w:sz="4" w:space="0" w:color="auto"/>
            </w:tcBorders>
            <w:shd w:val="clear" w:color="auto" w:fill="auto"/>
          </w:tcPr>
          <w:p w:rsidR="005E6305" w:rsidRPr="005E6305" w:rsidRDefault="005E6305" w:rsidP="005E6305">
            <w:pPr>
              <w:jc w:val="right"/>
              <w:rPr>
                <w:rFonts w:ascii="Arial" w:hAnsi="Arial" w:cs="Arial"/>
                <w:sz w:val="17"/>
                <w:szCs w:val="17"/>
              </w:rPr>
            </w:pPr>
            <w:r w:rsidRPr="005E6305">
              <w:rPr>
                <w:rFonts w:ascii="Arial" w:hAnsi="Arial" w:cs="Arial"/>
                <w:sz w:val="17"/>
                <w:szCs w:val="17"/>
              </w:rPr>
              <w:t xml:space="preserve">1,107,541 </w:t>
            </w:r>
          </w:p>
        </w:tc>
      </w:tr>
      <w:tr w:rsidR="005E6305" w:rsidRPr="002D70DA" w:rsidTr="005E630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E6305" w:rsidRPr="00560A6D" w:rsidRDefault="005E6305" w:rsidP="005E6305">
            <w:pPr>
              <w:ind w:left="497"/>
              <w:rPr>
                <w:rFonts w:ascii="Arial" w:hAnsi="Arial" w:cs="Arial"/>
                <w:sz w:val="17"/>
                <w:szCs w:val="17"/>
              </w:rPr>
            </w:pPr>
            <w:r w:rsidRPr="00C34218">
              <w:rPr>
                <w:rFonts w:ascii="Arial" w:hAnsi="Arial" w:cs="Arial"/>
                <w:sz w:val="17"/>
                <w:szCs w:val="17"/>
              </w:rPr>
              <w:t>Tribunal Electoral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5E6305" w:rsidRPr="005E6305" w:rsidRDefault="005E6305" w:rsidP="005E6305">
            <w:pPr>
              <w:jc w:val="right"/>
              <w:rPr>
                <w:rFonts w:ascii="Arial" w:hAnsi="Arial" w:cs="Arial"/>
                <w:sz w:val="17"/>
                <w:szCs w:val="17"/>
              </w:rPr>
            </w:pPr>
            <w:r w:rsidRPr="005E6305">
              <w:rPr>
                <w:rFonts w:ascii="Arial" w:hAnsi="Arial" w:cs="Arial"/>
                <w:sz w:val="17"/>
                <w:szCs w:val="17"/>
              </w:rPr>
              <w:t xml:space="preserve">1,505,392 </w:t>
            </w:r>
          </w:p>
        </w:tc>
        <w:tc>
          <w:tcPr>
            <w:tcW w:w="2180" w:type="dxa"/>
            <w:tcBorders>
              <w:top w:val="single" w:sz="4" w:space="0" w:color="auto"/>
              <w:left w:val="nil"/>
              <w:bottom w:val="single" w:sz="4" w:space="0" w:color="auto"/>
              <w:right w:val="single" w:sz="4" w:space="0" w:color="auto"/>
            </w:tcBorders>
            <w:shd w:val="clear" w:color="auto" w:fill="auto"/>
          </w:tcPr>
          <w:p w:rsidR="005E6305" w:rsidRPr="005E6305" w:rsidRDefault="005E6305" w:rsidP="005E6305">
            <w:pPr>
              <w:jc w:val="right"/>
              <w:rPr>
                <w:rFonts w:ascii="Arial" w:hAnsi="Arial" w:cs="Arial"/>
                <w:sz w:val="17"/>
                <w:szCs w:val="17"/>
              </w:rPr>
            </w:pPr>
            <w:r w:rsidRPr="005E6305">
              <w:rPr>
                <w:rFonts w:ascii="Arial" w:hAnsi="Arial" w:cs="Arial"/>
                <w:sz w:val="17"/>
                <w:szCs w:val="17"/>
              </w:rPr>
              <w:t xml:space="preserve">1,102,056 </w:t>
            </w:r>
          </w:p>
        </w:tc>
      </w:tr>
      <w:tr w:rsidR="005E6305" w:rsidRPr="002D70DA" w:rsidTr="005E6305">
        <w:trPr>
          <w:trHeight w:val="240"/>
          <w:jc w:val="center"/>
        </w:trPr>
        <w:tc>
          <w:tcPr>
            <w:tcW w:w="4900" w:type="dxa"/>
            <w:tcBorders>
              <w:top w:val="nil"/>
              <w:left w:val="nil"/>
              <w:bottom w:val="nil"/>
              <w:right w:val="single" w:sz="4" w:space="0" w:color="auto"/>
            </w:tcBorders>
            <w:shd w:val="clear" w:color="000000" w:fill="FFFFFF"/>
            <w:vAlign w:val="center"/>
            <w:hideMark/>
          </w:tcPr>
          <w:p w:rsidR="005E6305" w:rsidRPr="002D70DA" w:rsidRDefault="005E6305" w:rsidP="005E6305">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5E6305" w:rsidRPr="00EC1FCF" w:rsidRDefault="005E6305" w:rsidP="005E6305">
            <w:pPr>
              <w:jc w:val="right"/>
              <w:rPr>
                <w:rFonts w:ascii="Arial" w:hAnsi="Arial" w:cs="Arial"/>
                <w:b/>
                <w:sz w:val="17"/>
                <w:szCs w:val="17"/>
              </w:rPr>
            </w:pPr>
            <w:r w:rsidRPr="005E6305">
              <w:rPr>
                <w:rFonts w:ascii="Arial" w:hAnsi="Arial" w:cs="Arial"/>
                <w:b/>
                <w:sz w:val="17"/>
                <w:szCs w:val="17"/>
              </w:rPr>
              <w:t>4,809,313,201</w:t>
            </w:r>
          </w:p>
        </w:tc>
        <w:tc>
          <w:tcPr>
            <w:tcW w:w="2180" w:type="dxa"/>
            <w:tcBorders>
              <w:top w:val="nil"/>
              <w:left w:val="single" w:sz="4" w:space="0" w:color="auto"/>
              <w:bottom w:val="single" w:sz="4" w:space="0" w:color="auto"/>
              <w:right w:val="single" w:sz="4" w:space="0" w:color="auto"/>
            </w:tcBorders>
            <w:shd w:val="clear" w:color="000000" w:fill="FFFFFF"/>
          </w:tcPr>
          <w:p w:rsidR="005E6305" w:rsidRPr="005E6305" w:rsidRDefault="005E6305" w:rsidP="005E6305">
            <w:pPr>
              <w:jc w:val="right"/>
              <w:rPr>
                <w:rFonts w:ascii="Arial" w:hAnsi="Arial" w:cs="Arial"/>
                <w:b/>
                <w:sz w:val="17"/>
                <w:szCs w:val="17"/>
              </w:rPr>
            </w:pPr>
            <w:r w:rsidRPr="005E6305">
              <w:rPr>
                <w:rFonts w:ascii="Arial" w:hAnsi="Arial" w:cs="Arial"/>
                <w:b/>
                <w:sz w:val="17"/>
                <w:szCs w:val="17"/>
              </w:rPr>
              <w:t xml:space="preserve">6,243,067,673 </w:t>
            </w:r>
          </w:p>
        </w:tc>
      </w:tr>
    </w:tbl>
    <w:p w:rsidR="007802CD" w:rsidRDefault="007802CD">
      <w:pPr>
        <w:rPr>
          <w:rFonts w:ascii="Arial" w:eastAsia="Calibri" w:hAnsi="Arial" w:cs="Arial"/>
          <w:b/>
          <w:spacing w:val="-1"/>
          <w:sz w:val="17"/>
          <w:szCs w:val="17"/>
        </w:rPr>
      </w:pPr>
    </w:p>
    <w:p w:rsidR="00362B5E" w:rsidRDefault="00362B5E">
      <w:pPr>
        <w:rPr>
          <w:rFonts w:ascii="Arial" w:eastAsia="Calibri" w:hAnsi="Arial" w:cs="Arial"/>
          <w:b/>
          <w:spacing w:val="-1"/>
          <w:sz w:val="17"/>
          <w:szCs w:val="17"/>
        </w:rPr>
      </w:pPr>
    </w:p>
    <w:p w:rsidR="006335BE" w:rsidRPr="002D70DA" w:rsidRDefault="006335BE" w:rsidP="00795E45">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sidRPr="002D70DA">
        <w:rPr>
          <w:rFonts w:ascii="Arial" w:eastAsia="Calibri" w:hAnsi="Arial" w:cs="Arial"/>
          <w:b/>
          <w:spacing w:val="-1"/>
          <w:sz w:val="17"/>
          <w:szCs w:val="17"/>
        </w:rPr>
        <w:t xml:space="preserve">Derechos a recibir </w:t>
      </w:r>
      <w:r w:rsidR="00CE4092" w:rsidRPr="002D70DA">
        <w:rPr>
          <w:rFonts w:ascii="Arial" w:eastAsia="Calibri" w:hAnsi="Arial" w:cs="Arial"/>
          <w:b/>
          <w:spacing w:val="-1"/>
          <w:sz w:val="17"/>
          <w:szCs w:val="17"/>
        </w:rPr>
        <w:t>e</w:t>
      </w:r>
      <w:r w:rsidRPr="002D70DA">
        <w:rPr>
          <w:rFonts w:ascii="Arial" w:eastAsia="Calibri" w:hAnsi="Arial" w:cs="Arial"/>
          <w:b/>
          <w:spacing w:val="-1"/>
          <w:sz w:val="17"/>
          <w:szCs w:val="17"/>
        </w:rPr>
        <w:t xml:space="preserve">fectivo o </w:t>
      </w:r>
      <w:r w:rsidR="00CE4092" w:rsidRPr="002D70DA">
        <w:rPr>
          <w:rFonts w:ascii="Arial" w:eastAsia="Calibri" w:hAnsi="Arial" w:cs="Arial"/>
          <w:b/>
          <w:spacing w:val="-1"/>
          <w:sz w:val="17"/>
          <w:szCs w:val="17"/>
        </w:rPr>
        <w:t>e</w:t>
      </w:r>
      <w:r w:rsidRPr="002D70DA">
        <w:rPr>
          <w:rFonts w:ascii="Arial" w:eastAsia="Calibri" w:hAnsi="Arial" w:cs="Arial"/>
          <w:b/>
          <w:spacing w:val="-1"/>
          <w:sz w:val="17"/>
          <w:szCs w:val="17"/>
        </w:rPr>
        <w:t>quivalentes</w:t>
      </w:r>
      <w:r w:rsidR="00756556" w:rsidRPr="002D70DA">
        <w:rPr>
          <w:rFonts w:ascii="Arial" w:eastAsia="Calibri" w:hAnsi="Arial" w:cs="Arial"/>
          <w:b/>
          <w:spacing w:val="-1"/>
          <w:sz w:val="17"/>
          <w:szCs w:val="17"/>
        </w:rPr>
        <w:t xml:space="preserve"> y </w:t>
      </w:r>
      <w:r w:rsidR="00CE4092" w:rsidRPr="002D70DA">
        <w:rPr>
          <w:rFonts w:ascii="Arial" w:eastAsia="Calibri" w:hAnsi="Arial" w:cs="Arial"/>
          <w:b/>
          <w:spacing w:val="-1"/>
          <w:sz w:val="17"/>
          <w:szCs w:val="17"/>
        </w:rPr>
        <w:t>b</w:t>
      </w:r>
      <w:r w:rsidR="00756556" w:rsidRPr="002D70DA">
        <w:rPr>
          <w:rFonts w:ascii="Arial" w:eastAsia="Calibri" w:hAnsi="Arial" w:cs="Arial"/>
          <w:b/>
          <w:spacing w:val="-1"/>
          <w:sz w:val="17"/>
          <w:szCs w:val="17"/>
        </w:rPr>
        <w:t xml:space="preserve">ienes o </w:t>
      </w:r>
      <w:r w:rsidR="00CE4092" w:rsidRPr="002D70DA">
        <w:rPr>
          <w:rFonts w:ascii="Arial" w:eastAsia="Calibri" w:hAnsi="Arial" w:cs="Arial"/>
          <w:b/>
          <w:spacing w:val="-1"/>
          <w:sz w:val="17"/>
          <w:szCs w:val="17"/>
        </w:rPr>
        <w:t>s</w:t>
      </w:r>
      <w:r w:rsidR="00756556" w:rsidRPr="002D70DA">
        <w:rPr>
          <w:rFonts w:ascii="Arial" w:eastAsia="Calibri" w:hAnsi="Arial" w:cs="Arial"/>
          <w:b/>
          <w:spacing w:val="-1"/>
          <w:sz w:val="17"/>
          <w:szCs w:val="17"/>
        </w:rPr>
        <w:t xml:space="preserve">ervicios a </w:t>
      </w:r>
      <w:r w:rsidR="00CE4092" w:rsidRPr="002D70DA">
        <w:rPr>
          <w:rFonts w:ascii="Arial" w:eastAsia="Calibri" w:hAnsi="Arial" w:cs="Arial"/>
          <w:b/>
          <w:spacing w:val="-1"/>
          <w:sz w:val="17"/>
          <w:szCs w:val="17"/>
        </w:rPr>
        <w:t>r</w:t>
      </w:r>
      <w:r w:rsidR="00756556" w:rsidRPr="002D70DA">
        <w:rPr>
          <w:rFonts w:ascii="Arial" w:eastAsia="Calibri" w:hAnsi="Arial" w:cs="Arial"/>
          <w:b/>
          <w:spacing w:val="-1"/>
          <w:sz w:val="17"/>
          <w:szCs w:val="17"/>
        </w:rPr>
        <w:t>ecibir:</w:t>
      </w:r>
    </w:p>
    <w:p w:rsidR="00ED5AC6" w:rsidRPr="00560276" w:rsidRDefault="00ED5AC6" w:rsidP="00AE5C9D">
      <w:pPr>
        <w:spacing w:before="80" w:line="250" w:lineRule="exact"/>
        <w:ind w:left="709"/>
        <w:jc w:val="both"/>
        <w:rPr>
          <w:rFonts w:ascii="Arial" w:eastAsia="Calibri" w:hAnsi="Arial" w:cs="Arial"/>
          <w:spacing w:val="-1"/>
          <w:sz w:val="17"/>
          <w:szCs w:val="17"/>
        </w:rPr>
      </w:pPr>
      <w:r w:rsidRPr="00560276">
        <w:rPr>
          <w:rFonts w:ascii="Arial" w:eastAsia="Calibri" w:hAnsi="Arial" w:cs="Arial"/>
          <w:spacing w:val="-1"/>
          <w:sz w:val="17"/>
          <w:szCs w:val="17"/>
        </w:rPr>
        <w:t xml:space="preserve">En este apartado se informa la integración del rubro </w:t>
      </w:r>
      <w:r w:rsidR="00560276">
        <w:rPr>
          <w:rFonts w:ascii="Arial" w:eastAsia="Calibri" w:hAnsi="Arial" w:cs="Arial"/>
          <w:spacing w:val="-1"/>
          <w:sz w:val="17"/>
          <w:szCs w:val="17"/>
        </w:rPr>
        <w:t>D</w:t>
      </w:r>
      <w:r w:rsidR="00560276" w:rsidRPr="00560276">
        <w:rPr>
          <w:rFonts w:ascii="Arial" w:eastAsia="Calibri" w:hAnsi="Arial" w:cs="Arial"/>
          <w:spacing w:val="-1"/>
          <w:sz w:val="17"/>
          <w:szCs w:val="17"/>
        </w:rPr>
        <w:t xml:space="preserve">erechos a </w:t>
      </w:r>
      <w:r w:rsidR="00560276">
        <w:rPr>
          <w:rFonts w:ascii="Arial" w:eastAsia="Calibri" w:hAnsi="Arial" w:cs="Arial"/>
          <w:spacing w:val="-1"/>
          <w:sz w:val="17"/>
          <w:szCs w:val="17"/>
        </w:rPr>
        <w:t>R</w:t>
      </w:r>
      <w:r w:rsidR="00560276" w:rsidRPr="00560276">
        <w:rPr>
          <w:rFonts w:ascii="Arial" w:eastAsia="Calibri" w:hAnsi="Arial" w:cs="Arial"/>
          <w:spacing w:val="-1"/>
          <w:sz w:val="17"/>
          <w:szCs w:val="17"/>
        </w:rPr>
        <w:t xml:space="preserve">ecibir </w:t>
      </w:r>
      <w:r w:rsidR="00560276">
        <w:rPr>
          <w:rFonts w:ascii="Arial" w:eastAsia="Calibri" w:hAnsi="Arial" w:cs="Arial"/>
          <w:spacing w:val="-1"/>
          <w:sz w:val="17"/>
          <w:szCs w:val="17"/>
        </w:rPr>
        <w:t>E</w:t>
      </w:r>
      <w:r w:rsidR="00560276" w:rsidRPr="00560276">
        <w:rPr>
          <w:rFonts w:ascii="Arial" w:eastAsia="Calibri" w:hAnsi="Arial" w:cs="Arial"/>
          <w:spacing w:val="-1"/>
          <w:sz w:val="17"/>
          <w:szCs w:val="17"/>
        </w:rPr>
        <w:t xml:space="preserve">fectivo o </w:t>
      </w:r>
      <w:r w:rsidR="00560276">
        <w:rPr>
          <w:rFonts w:ascii="Arial" w:eastAsia="Calibri" w:hAnsi="Arial" w:cs="Arial"/>
          <w:spacing w:val="-1"/>
          <w:sz w:val="17"/>
          <w:szCs w:val="17"/>
        </w:rPr>
        <w:t>E</w:t>
      </w:r>
      <w:r w:rsidR="00560276" w:rsidRPr="00560276">
        <w:rPr>
          <w:rFonts w:ascii="Arial" w:eastAsia="Calibri" w:hAnsi="Arial" w:cs="Arial"/>
          <w:spacing w:val="-1"/>
          <w:sz w:val="17"/>
          <w:szCs w:val="17"/>
        </w:rPr>
        <w:t>quivalentes</w:t>
      </w:r>
      <w:r w:rsidRPr="00560276">
        <w:rPr>
          <w:rFonts w:ascii="Arial" w:eastAsia="Calibri" w:hAnsi="Arial" w:cs="Arial"/>
          <w:spacing w:val="-1"/>
          <w:sz w:val="17"/>
          <w:szCs w:val="17"/>
        </w:rPr>
        <w:t xml:space="preserve"> del</w:t>
      </w:r>
      <w:r w:rsidR="00471C1E">
        <w:rPr>
          <w:rFonts w:ascii="Arial" w:eastAsia="Calibri" w:hAnsi="Arial" w:cs="Arial"/>
          <w:spacing w:val="-1"/>
          <w:sz w:val="17"/>
          <w:szCs w:val="17"/>
        </w:rPr>
        <w:t xml:space="preserve"> </w:t>
      </w:r>
      <w:r w:rsidR="00A54EB9">
        <w:rPr>
          <w:rFonts w:ascii="Arial" w:eastAsia="Calibri" w:hAnsi="Arial" w:cs="Arial"/>
          <w:spacing w:val="-1"/>
          <w:sz w:val="17"/>
          <w:szCs w:val="17"/>
        </w:rPr>
        <w:t>Gobierno Estatal de Querétaro</w:t>
      </w:r>
      <w:r w:rsidRPr="00560276">
        <w:rPr>
          <w:rFonts w:ascii="Arial" w:eastAsia="Calibri" w:hAnsi="Arial" w:cs="Arial"/>
          <w:spacing w:val="-1"/>
          <w:sz w:val="17"/>
          <w:szCs w:val="17"/>
        </w:rPr>
        <w:t>:</w:t>
      </w:r>
    </w:p>
    <w:p w:rsidR="00ED5AC6" w:rsidRPr="00ED5AC6" w:rsidRDefault="00ED5AC6" w:rsidP="00560276">
      <w:pPr>
        <w:pStyle w:val="Prrafodelista"/>
        <w:autoSpaceDE w:val="0"/>
        <w:autoSpaceDN w:val="0"/>
        <w:adjustRightInd w:val="0"/>
        <w:spacing w:before="240" w:after="120"/>
        <w:jc w:val="center"/>
        <w:rPr>
          <w:rFonts w:ascii="Arial" w:eastAsia="Calibri" w:hAnsi="Arial" w:cs="Arial"/>
          <w:b/>
          <w:spacing w:val="-1"/>
          <w:sz w:val="17"/>
          <w:szCs w:val="17"/>
        </w:rPr>
      </w:pPr>
      <w:r w:rsidRPr="00ED5AC6">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ED5AC6" w:rsidRPr="002D70DA" w:rsidTr="00A06BE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D5AC6" w:rsidRPr="002D70DA" w:rsidRDefault="00ED5AC6" w:rsidP="001A0060">
            <w:pPr>
              <w:jc w:val="center"/>
              <w:rPr>
                <w:rFonts w:ascii="Arial" w:hAnsi="Arial" w:cs="Arial"/>
                <w:b/>
                <w:bCs/>
                <w:color w:val="000000"/>
                <w:sz w:val="17"/>
                <w:szCs w:val="17"/>
              </w:rPr>
            </w:pPr>
            <w:r>
              <w:rPr>
                <w:rFonts w:ascii="Arial" w:hAnsi="Arial" w:cs="Arial"/>
                <w:b/>
                <w:bCs/>
                <w:color w:val="000000"/>
                <w:sz w:val="17"/>
                <w:szCs w:val="17"/>
              </w:rPr>
              <w:t>Concepto</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ED5AC6" w:rsidRPr="002D70DA" w:rsidRDefault="00FD7D84" w:rsidP="001A0060">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ED5AC6" w:rsidRPr="002D70DA" w:rsidRDefault="00FD7D84" w:rsidP="001A0060">
            <w:pPr>
              <w:jc w:val="center"/>
              <w:rPr>
                <w:rFonts w:ascii="Arial" w:hAnsi="Arial" w:cs="Arial"/>
                <w:b/>
                <w:bCs/>
                <w:color w:val="000000"/>
                <w:sz w:val="17"/>
                <w:szCs w:val="17"/>
              </w:rPr>
            </w:pPr>
            <w:r>
              <w:rPr>
                <w:rFonts w:ascii="Arial" w:hAnsi="Arial" w:cs="Arial"/>
                <w:b/>
                <w:bCs/>
                <w:color w:val="000000"/>
                <w:sz w:val="17"/>
                <w:szCs w:val="17"/>
              </w:rPr>
              <w:t>2019</w:t>
            </w:r>
          </w:p>
        </w:tc>
      </w:tr>
      <w:tr w:rsidR="00A06BE5" w:rsidRPr="002D70DA" w:rsidTr="00A06BE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06BE5" w:rsidRPr="000A6857" w:rsidRDefault="00A06BE5" w:rsidP="00A06BE5">
            <w:pPr>
              <w:rPr>
                <w:rFonts w:ascii="Arial" w:hAnsi="Arial" w:cs="Arial"/>
                <w:sz w:val="17"/>
                <w:szCs w:val="17"/>
              </w:rPr>
            </w:pPr>
            <w:r w:rsidRPr="000A6857">
              <w:rPr>
                <w:rFonts w:ascii="Arial" w:hAnsi="Arial" w:cs="Arial"/>
                <w:sz w:val="17"/>
                <w:szCs w:val="17"/>
              </w:rPr>
              <w:t>Cuentas por Cobrar a Corto Plazo</w:t>
            </w:r>
          </w:p>
        </w:tc>
        <w:tc>
          <w:tcPr>
            <w:tcW w:w="2180" w:type="dxa"/>
            <w:tcBorders>
              <w:top w:val="single" w:sz="4" w:space="0" w:color="auto"/>
              <w:left w:val="nil"/>
              <w:bottom w:val="single" w:sz="4" w:space="0" w:color="auto"/>
              <w:right w:val="single" w:sz="4" w:space="0" w:color="auto"/>
            </w:tcBorders>
            <w:shd w:val="clear" w:color="auto" w:fill="auto"/>
          </w:tcPr>
          <w:p w:rsidR="00A06BE5" w:rsidRPr="00A06BE5" w:rsidRDefault="00A06BE5" w:rsidP="00A06BE5">
            <w:pPr>
              <w:jc w:val="right"/>
              <w:rPr>
                <w:rFonts w:ascii="Arial" w:hAnsi="Arial" w:cs="Arial"/>
                <w:sz w:val="17"/>
                <w:szCs w:val="17"/>
              </w:rPr>
            </w:pPr>
            <w:r w:rsidRPr="00A06BE5">
              <w:rPr>
                <w:rFonts w:ascii="Arial" w:hAnsi="Arial" w:cs="Arial"/>
                <w:sz w:val="17"/>
                <w:szCs w:val="17"/>
              </w:rPr>
              <w:t xml:space="preserve">45,941,613 </w:t>
            </w:r>
          </w:p>
        </w:tc>
        <w:tc>
          <w:tcPr>
            <w:tcW w:w="2180" w:type="dxa"/>
            <w:tcBorders>
              <w:top w:val="single" w:sz="4" w:space="0" w:color="auto"/>
              <w:left w:val="nil"/>
              <w:bottom w:val="single" w:sz="4" w:space="0" w:color="auto"/>
              <w:right w:val="single" w:sz="4" w:space="0" w:color="auto"/>
            </w:tcBorders>
            <w:shd w:val="clear" w:color="auto" w:fill="auto"/>
          </w:tcPr>
          <w:p w:rsidR="00A06BE5" w:rsidRPr="00A06BE5" w:rsidRDefault="00A06BE5" w:rsidP="00A06BE5">
            <w:pPr>
              <w:jc w:val="right"/>
              <w:rPr>
                <w:rFonts w:ascii="Arial" w:hAnsi="Arial" w:cs="Arial"/>
                <w:sz w:val="17"/>
                <w:szCs w:val="17"/>
              </w:rPr>
            </w:pPr>
            <w:r w:rsidRPr="00A06BE5">
              <w:rPr>
                <w:rFonts w:ascii="Arial" w:hAnsi="Arial" w:cs="Arial"/>
                <w:sz w:val="17"/>
                <w:szCs w:val="17"/>
              </w:rPr>
              <w:t xml:space="preserve">-2,295 </w:t>
            </w:r>
          </w:p>
        </w:tc>
      </w:tr>
      <w:tr w:rsidR="00A06BE5" w:rsidRPr="002D70DA" w:rsidTr="00A06BE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06BE5" w:rsidRPr="000A6857" w:rsidRDefault="00A06BE5" w:rsidP="00A06BE5">
            <w:pPr>
              <w:rPr>
                <w:rFonts w:ascii="Arial" w:hAnsi="Arial" w:cs="Arial"/>
                <w:sz w:val="17"/>
                <w:szCs w:val="17"/>
              </w:rPr>
            </w:pPr>
            <w:r w:rsidRPr="000A6857">
              <w:rPr>
                <w:rFonts w:ascii="Arial" w:hAnsi="Arial" w:cs="Arial"/>
                <w:sz w:val="17"/>
                <w:szCs w:val="17"/>
              </w:rPr>
              <w:t>Deudores Diversos por Cobrar a Corto Plazo</w:t>
            </w:r>
          </w:p>
        </w:tc>
        <w:tc>
          <w:tcPr>
            <w:tcW w:w="2180" w:type="dxa"/>
            <w:tcBorders>
              <w:top w:val="single" w:sz="4" w:space="0" w:color="auto"/>
              <w:left w:val="nil"/>
              <w:bottom w:val="single" w:sz="4" w:space="0" w:color="auto"/>
              <w:right w:val="single" w:sz="4" w:space="0" w:color="auto"/>
            </w:tcBorders>
            <w:shd w:val="clear" w:color="auto" w:fill="auto"/>
          </w:tcPr>
          <w:p w:rsidR="00A06BE5" w:rsidRPr="00A06BE5" w:rsidRDefault="00A06BE5" w:rsidP="00A06BE5">
            <w:pPr>
              <w:jc w:val="right"/>
              <w:rPr>
                <w:rFonts w:ascii="Arial" w:hAnsi="Arial" w:cs="Arial"/>
                <w:sz w:val="17"/>
                <w:szCs w:val="17"/>
              </w:rPr>
            </w:pPr>
            <w:r w:rsidRPr="00A06BE5">
              <w:rPr>
                <w:rFonts w:ascii="Arial" w:hAnsi="Arial" w:cs="Arial"/>
                <w:sz w:val="17"/>
                <w:szCs w:val="17"/>
              </w:rPr>
              <w:t xml:space="preserve">1,748,816 </w:t>
            </w:r>
          </w:p>
        </w:tc>
        <w:tc>
          <w:tcPr>
            <w:tcW w:w="2180" w:type="dxa"/>
            <w:tcBorders>
              <w:top w:val="single" w:sz="4" w:space="0" w:color="auto"/>
              <w:left w:val="nil"/>
              <w:bottom w:val="single" w:sz="4" w:space="0" w:color="auto"/>
              <w:right w:val="single" w:sz="4" w:space="0" w:color="auto"/>
            </w:tcBorders>
            <w:shd w:val="clear" w:color="auto" w:fill="auto"/>
          </w:tcPr>
          <w:p w:rsidR="00A06BE5" w:rsidRPr="00A06BE5" w:rsidRDefault="00A06BE5" w:rsidP="00A06BE5">
            <w:pPr>
              <w:jc w:val="right"/>
              <w:rPr>
                <w:rFonts w:ascii="Arial" w:hAnsi="Arial" w:cs="Arial"/>
                <w:sz w:val="17"/>
                <w:szCs w:val="17"/>
              </w:rPr>
            </w:pPr>
            <w:r w:rsidRPr="00A06BE5">
              <w:rPr>
                <w:rFonts w:ascii="Arial" w:hAnsi="Arial" w:cs="Arial"/>
                <w:sz w:val="17"/>
                <w:szCs w:val="17"/>
              </w:rPr>
              <w:t xml:space="preserve"> 1,838,328 </w:t>
            </w:r>
          </w:p>
        </w:tc>
      </w:tr>
      <w:tr w:rsidR="00A06BE5" w:rsidRPr="002D70DA" w:rsidTr="00A06BE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06BE5" w:rsidRPr="000A6857" w:rsidRDefault="00A06BE5" w:rsidP="00A06BE5">
            <w:pPr>
              <w:rPr>
                <w:rFonts w:ascii="Arial" w:hAnsi="Arial" w:cs="Arial"/>
                <w:sz w:val="17"/>
                <w:szCs w:val="17"/>
              </w:rPr>
            </w:pPr>
            <w:r w:rsidRPr="000A6857">
              <w:rPr>
                <w:rFonts w:ascii="Arial" w:hAnsi="Arial" w:cs="Arial"/>
                <w:sz w:val="17"/>
                <w:szCs w:val="17"/>
              </w:rPr>
              <w:t>Ingresos por Recuperar a Corto Plazo</w:t>
            </w:r>
          </w:p>
        </w:tc>
        <w:tc>
          <w:tcPr>
            <w:tcW w:w="2180" w:type="dxa"/>
            <w:tcBorders>
              <w:top w:val="single" w:sz="4" w:space="0" w:color="auto"/>
              <w:left w:val="nil"/>
              <w:bottom w:val="single" w:sz="4" w:space="0" w:color="auto"/>
              <w:right w:val="single" w:sz="4" w:space="0" w:color="auto"/>
            </w:tcBorders>
            <w:shd w:val="clear" w:color="auto" w:fill="auto"/>
          </w:tcPr>
          <w:p w:rsidR="00A06BE5" w:rsidRPr="00A06BE5" w:rsidRDefault="00A06BE5" w:rsidP="00A06BE5">
            <w:pPr>
              <w:jc w:val="right"/>
              <w:rPr>
                <w:rFonts w:ascii="Arial" w:hAnsi="Arial" w:cs="Arial"/>
                <w:sz w:val="17"/>
                <w:szCs w:val="17"/>
              </w:rPr>
            </w:pPr>
            <w:r w:rsidRPr="00A06BE5">
              <w:rPr>
                <w:rFonts w:ascii="Arial" w:hAnsi="Arial" w:cs="Arial"/>
                <w:sz w:val="17"/>
                <w:szCs w:val="17"/>
              </w:rPr>
              <w:t xml:space="preserve">3,628,643 </w:t>
            </w:r>
          </w:p>
        </w:tc>
        <w:tc>
          <w:tcPr>
            <w:tcW w:w="2180" w:type="dxa"/>
            <w:tcBorders>
              <w:top w:val="single" w:sz="4" w:space="0" w:color="auto"/>
              <w:left w:val="nil"/>
              <w:bottom w:val="single" w:sz="4" w:space="0" w:color="auto"/>
              <w:right w:val="single" w:sz="4" w:space="0" w:color="auto"/>
            </w:tcBorders>
            <w:shd w:val="clear" w:color="auto" w:fill="auto"/>
          </w:tcPr>
          <w:p w:rsidR="00A06BE5" w:rsidRPr="00A06BE5" w:rsidRDefault="00A06BE5" w:rsidP="00A06BE5">
            <w:pPr>
              <w:jc w:val="right"/>
              <w:rPr>
                <w:rFonts w:ascii="Arial" w:hAnsi="Arial" w:cs="Arial"/>
                <w:sz w:val="17"/>
                <w:szCs w:val="17"/>
              </w:rPr>
            </w:pPr>
            <w:r w:rsidRPr="00A06BE5">
              <w:rPr>
                <w:rFonts w:ascii="Arial" w:hAnsi="Arial" w:cs="Arial"/>
                <w:sz w:val="17"/>
                <w:szCs w:val="17"/>
              </w:rPr>
              <w:t xml:space="preserve"> 5,607,654 </w:t>
            </w:r>
          </w:p>
        </w:tc>
      </w:tr>
      <w:tr w:rsidR="00A06BE5" w:rsidRPr="002D70DA" w:rsidTr="00A06BE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06BE5" w:rsidRPr="000A6857" w:rsidRDefault="00A06BE5" w:rsidP="00A06BE5">
            <w:pPr>
              <w:rPr>
                <w:rFonts w:ascii="Arial" w:hAnsi="Arial" w:cs="Arial"/>
                <w:sz w:val="17"/>
                <w:szCs w:val="17"/>
              </w:rPr>
            </w:pPr>
            <w:r w:rsidRPr="000A6857">
              <w:rPr>
                <w:rFonts w:ascii="Arial" w:hAnsi="Arial" w:cs="Arial"/>
                <w:sz w:val="17"/>
                <w:szCs w:val="17"/>
              </w:rPr>
              <w:t>Deudores por Anticipos de la Tesorería a Corto Plazo</w:t>
            </w:r>
          </w:p>
        </w:tc>
        <w:tc>
          <w:tcPr>
            <w:tcW w:w="2180" w:type="dxa"/>
            <w:tcBorders>
              <w:top w:val="single" w:sz="4" w:space="0" w:color="auto"/>
              <w:left w:val="nil"/>
              <w:bottom w:val="single" w:sz="4" w:space="0" w:color="auto"/>
              <w:right w:val="single" w:sz="4" w:space="0" w:color="auto"/>
            </w:tcBorders>
            <w:shd w:val="clear" w:color="auto" w:fill="auto"/>
          </w:tcPr>
          <w:p w:rsidR="00A06BE5" w:rsidRPr="00A06BE5" w:rsidRDefault="00A06BE5" w:rsidP="00A06BE5">
            <w:pPr>
              <w:jc w:val="right"/>
              <w:rPr>
                <w:rFonts w:ascii="Arial" w:hAnsi="Arial" w:cs="Arial"/>
                <w:sz w:val="17"/>
                <w:szCs w:val="17"/>
              </w:rPr>
            </w:pPr>
            <w:r w:rsidRPr="00A06BE5">
              <w:rPr>
                <w:rFonts w:ascii="Arial" w:hAnsi="Arial" w:cs="Arial"/>
                <w:sz w:val="17"/>
                <w:szCs w:val="17"/>
              </w:rPr>
              <w:t xml:space="preserve">89,172 </w:t>
            </w:r>
          </w:p>
        </w:tc>
        <w:tc>
          <w:tcPr>
            <w:tcW w:w="2180" w:type="dxa"/>
            <w:tcBorders>
              <w:top w:val="single" w:sz="4" w:space="0" w:color="auto"/>
              <w:left w:val="nil"/>
              <w:bottom w:val="single" w:sz="4" w:space="0" w:color="auto"/>
              <w:right w:val="single" w:sz="4" w:space="0" w:color="auto"/>
            </w:tcBorders>
            <w:shd w:val="clear" w:color="auto" w:fill="auto"/>
          </w:tcPr>
          <w:p w:rsidR="00A06BE5" w:rsidRPr="00A06BE5" w:rsidRDefault="00A06BE5" w:rsidP="00A06BE5">
            <w:pPr>
              <w:jc w:val="right"/>
              <w:rPr>
                <w:rFonts w:ascii="Arial" w:hAnsi="Arial" w:cs="Arial"/>
                <w:sz w:val="17"/>
                <w:szCs w:val="17"/>
              </w:rPr>
            </w:pPr>
            <w:r w:rsidRPr="00A06BE5">
              <w:rPr>
                <w:rFonts w:ascii="Arial" w:hAnsi="Arial" w:cs="Arial"/>
                <w:sz w:val="17"/>
                <w:szCs w:val="17"/>
              </w:rPr>
              <w:t xml:space="preserve"> 89,194 </w:t>
            </w:r>
          </w:p>
        </w:tc>
      </w:tr>
      <w:tr w:rsidR="00A06BE5" w:rsidRPr="002D70DA" w:rsidTr="00A06BE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06BE5" w:rsidRPr="000A6857" w:rsidRDefault="00A06BE5" w:rsidP="00A06BE5">
            <w:pPr>
              <w:rPr>
                <w:rFonts w:ascii="Arial" w:hAnsi="Arial" w:cs="Arial"/>
                <w:sz w:val="17"/>
                <w:szCs w:val="17"/>
              </w:rPr>
            </w:pPr>
            <w:r w:rsidRPr="000A6857">
              <w:rPr>
                <w:rFonts w:ascii="Arial" w:hAnsi="Arial" w:cs="Arial"/>
                <w:sz w:val="17"/>
                <w:szCs w:val="17"/>
              </w:rPr>
              <w:t>Otros Derechos a Recibir Efectivo o Equivalentes a Corto Plazo</w:t>
            </w:r>
          </w:p>
        </w:tc>
        <w:tc>
          <w:tcPr>
            <w:tcW w:w="2180" w:type="dxa"/>
            <w:tcBorders>
              <w:top w:val="single" w:sz="4" w:space="0" w:color="auto"/>
              <w:left w:val="nil"/>
              <w:bottom w:val="single" w:sz="4" w:space="0" w:color="auto"/>
              <w:right w:val="single" w:sz="4" w:space="0" w:color="auto"/>
            </w:tcBorders>
            <w:shd w:val="clear" w:color="auto" w:fill="auto"/>
          </w:tcPr>
          <w:p w:rsidR="00A06BE5" w:rsidRPr="000A6857" w:rsidRDefault="00A06BE5" w:rsidP="00A06BE5">
            <w:pPr>
              <w:jc w:val="right"/>
              <w:rPr>
                <w:rFonts w:ascii="Arial" w:hAnsi="Arial" w:cs="Arial"/>
                <w:sz w:val="17"/>
                <w:szCs w:val="17"/>
              </w:rPr>
            </w:pPr>
            <w:r w:rsidRPr="00A06BE5">
              <w:rPr>
                <w:rFonts w:ascii="Arial" w:hAnsi="Arial" w:cs="Arial"/>
                <w:sz w:val="17"/>
                <w:szCs w:val="17"/>
              </w:rPr>
              <w:t>12,573</w:t>
            </w:r>
          </w:p>
        </w:tc>
        <w:tc>
          <w:tcPr>
            <w:tcW w:w="2180" w:type="dxa"/>
            <w:tcBorders>
              <w:top w:val="single" w:sz="4" w:space="0" w:color="auto"/>
              <w:left w:val="nil"/>
              <w:bottom w:val="single" w:sz="4" w:space="0" w:color="auto"/>
              <w:right w:val="single" w:sz="4" w:space="0" w:color="auto"/>
            </w:tcBorders>
            <w:shd w:val="clear" w:color="auto" w:fill="auto"/>
          </w:tcPr>
          <w:p w:rsidR="00A06BE5" w:rsidRPr="00A06BE5" w:rsidRDefault="00A06BE5" w:rsidP="00A06BE5">
            <w:pPr>
              <w:jc w:val="right"/>
              <w:rPr>
                <w:rFonts w:ascii="Arial" w:hAnsi="Arial" w:cs="Arial"/>
                <w:sz w:val="17"/>
                <w:szCs w:val="17"/>
              </w:rPr>
            </w:pPr>
            <w:r w:rsidRPr="00A06BE5">
              <w:rPr>
                <w:rFonts w:ascii="Arial" w:hAnsi="Arial" w:cs="Arial"/>
                <w:sz w:val="17"/>
                <w:szCs w:val="17"/>
              </w:rPr>
              <w:t xml:space="preserve"> 112,296 </w:t>
            </w:r>
          </w:p>
        </w:tc>
      </w:tr>
      <w:tr w:rsidR="00A06BE5" w:rsidRPr="007C1336" w:rsidTr="00A06BE5">
        <w:trPr>
          <w:trHeight w:val="240"/>
          <w:jc w:val="center"/>
        </w:trPr>
        <w:tc>
          <w:tcPr>
            <w:tcW w:w="4900" w:type="dxa"/>
            <w:tcBorders>
              <w:top w:val="nil"/>
              <w:left w:val="nil"/>
              <w:bottom w:val="nil"/>
              <w:right w:val="single" w:sz="4" w:space="0" w:color="auto"/>
            </w:tcBorders>
            <w:shd w:val="clear" w:color="000000" w:fill="FFFFFF"/>
            <w:vAlign w:val="center"/>
            <w:hideMark/>
          </w:tcPr>
          <w:p w:rsidR="00A06BE5" w:rsidRPr="002D70DA" w:rsidRDefault="00A06BE5" w:rsidP="00A06BE5">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A06BE5" w:rsidRPr="000A6857" w:rsidRDefault="00A06BE5" w:rsidP="00A06BE5">
            <w:pPr>
              <w:jc w:val="right"/>
              <w:rPr>
                <w:rFonts w:ascii="Arial" w:hAnsi="Arial" w:cs="Arial"/>
                <w:b/>
                <w:sz w:val="17"/>
                <w:szCs w:val="17"/>
              </w:rPr>
            </w:pPr>
            <w:r w:rsidRPr="000A6857">
              <w:rPr>
                <w:rFonts w:ascii="Arial" w:hAnsi="Arial" w:cs="Arial"/>
                <w:b/>
                <w:sz w:val="17"/>
                <w:szCs w:val="17"/>
              </w:rPr>
              <w:t xml:space="preserve"> </w:t>
            </w:r>
            <w:r w:rsidRPr="00A06BE5">
              <w:rPr>
                <w:rFonts w:ascii="Arial" w:hAnsi="Arial" w:cs="Arial"/>
                <w:b/>
                <w:sz w:val="17"/>
                <w:szCs w:val="17"/>
              </w:rPr>
              <w:t>51,420,817</w:t>
            </w:r>
          </w:p>
        </w:tc>
        <w:tc>
          <w:tcPr>
            <w:tcW w:w="2180" w:type="dxa"/>
            <w:tcBorders>
              <w:top w:val="nil"/>
              <w:left w:val="single" w:sz="4" w:space="0" w:color="auto"/>
              <w:bottom w:val="single" w:sz="4" w:space="0" w:color="auto"/>
              <w:right w:val="single" w:sz="4" w:space="0" w:color="auto"/>
            </w:tcBorders>
            <w:shd w:val="clear" w:color="000000" w:fill="FFFFFF"/>
          </w:tcPr>
          <w:p w:rsidR="00A06BE5" w:rsidRPr="00A06BE5" w:rsidRDefault="00A06BE5" w:rsidP="00A06BE5">
            <w:pPr>
              <w:jc w:val="right"/>
              <w:rPr>
                <w:rFonts w:ascii="Arial" w:hAnsi="Arial" w:cs="Arial"/>
                <w:b/>
                <w:sz w:val="17"/>
                <w:szCs w:val="17"/>
              </w:rPr>
            </w:pPr>
            <w:r w:rsidRPr="00A06BE5">
              <w:rPr>
                <w:rFonts w:ascii="Arial" w:hAnsi="Arial" w:cs="Arial"/>
                <w:b/>
                <w:sz w:val="17"/>
                <w:szCs w:val="17"/>
              </w:rPr>
              <w:t xml:space="preserve"> 7,645,177 </w:t>
            </w:r>
          </w:p>
        </w:tc>
      </w:tr>
    </w:tbl>
    <w:p w:rsidR="002F3A90" w:rsidRDefault="002F3A90" w:rsidP="006335BE">
      <w:pPr>
        <w:spacing w:before="80" w:line="250" w:lineRule="exact"/>
        <w:ind w:left="709"/>
        <w:jc w:val="both"/>
        <w:rPr>
          <w:rFonts w:ascii="Arial" w:eastAsia="Calibri" w:hAnsi="Arial" w:cs="Arial"/>
          <w:spacing w:val="-1"/>
          <w:sz w:val="17"/>
          <w:szCs w:val="17"/>
        </w:rPr>
      </w:pPr>
    </w:p>
    <w:p w:rsidR="0055474B" w:rsidRDefault="002F3A90" w:rsidP="006335BE">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 xml:space="preserve">El </w:t>
      </w:r>
      <w:r w:rsidR="00955738">
        <w:rPr>
          <w:rFonts w:ascii="Arial" w:eastAsia="Calibri" w:hAnsi="Arial" w:cs="Arial"/>
          <w:spacing w:val="-1"/>
          <w:sz w:val="17"/>
          <w:szCs w:val="17"/>
        </w:rPr>
        <w:t>in</w:t>
      </w:r>
      <w:r>
        <w:rPr>
          <w:rFonts w:ascii="Arial" w:eastAsia="Calibri" w:hAnsi="Arial" w:cs="Arial"/>
          <w:spacing w:val="-1"/>
          <w:sz w:val="17"/>
          <w:szCs w:val="17"/>
        </w:rPr>
        <w:t xml:space="preserve">cremento en las </w:t>
      </w:r>
      <w:r w:rsidRPr="002F3A90">
        <w:rPr>
          <w:rFonts w:ascii="Arial" w:eastAsia="Calibri" w:hAnsi="Arial" w:cs="Arial"/>
          <w:spacing w:val="-1"/>
          <w:sz w:val="17"/>
          <w:szCs w:val="17"/>
        </w:rPr>
        <w:t xml:space="preserve">Cuentas por Cobrar a Corto Plazo </w:t>
      </w:r>
      <w:r>
        <w:rPr>
          <w:rFonts w:ascii="Arial" w:eastAsia="Calibri" w:hAnsi="Arial" w:cs="Arial"/>
          <w:spacing w:val="-1"/>
          <w:sz w:val="17"/>
          <w:szCs w:val="17"/>
        </w:rPr>
        <w:t xml:space="preserve">obedece principalmente a la disminución </w:t>
      </w:r>
      <w:r w:rsidR="000A6857">
        <w:rPr>
          <w:rFonts w:ascii="Arial" w:eastAsia="Calibri" w:hAnsi="Arial" w:cs="Arial"/>
          <w:spacing w:val="-1"/>
          <w:sz w:val="17"/>
          <w:szCs w:val="17"/>
        </w:rPr>
        <w:t xml:space="preserve">de las Cuentas por Cobrar a Corto Plazo que </w:t>
      </w:r>
      <w:r>
        <w:rPr>
          <w:rFonts w:ascii="Arial" w:eastAsia="Calibri" w:hAnsi="Arial" w:cs="Arial"/>
          <w:spacing w:val="-1"/>
          <w:sz w:val="17"/>
          <w:szCs w:val="17"/>
        </w:rPr>
        <w:t>experiment</w:t>
      </w:r>
      <w:r w:rsidR="000A6857">
        <w:rPr>
          <w:rFonts w:ascii="Arial" w:eastAsia="Calibri" w:hAnsi="Arial" w:cs="Arial"/>
          <w:spacing w:val="-1"/>
          <w:sz w:val="17"/>
          <w:szCs w:val="17"/>
        </w:rPr>
        <w:t>ó el Poder Ejecutivo</w:t>
      </w:r>
      <w:r>
        <w:rPr>
          <w:rFonts w:ascii="Arial" w:eastAsia="Calibri" w:hAnsi="Arial" w:cs="Arial"/>
          <w:spacing w:val="-1"/>
          <w:sz w:val="17"/>
          <w:szCs w:val="17"/>
        </w:rPr>
        <w:t>.</w:t>
      </w:r>
    </w:p>
    <w:p w:rsidR="00C75BCA" w:rsidRDefault="00C75BCA">
      <w:pPr>
        <w:rPr>
          <w:rFonts w:ascii="Arial" w:eastAsia="Calibri" w:hAnsi="Arial" w:cs="Arial"/>
          <w:spacing w:val="-1"/>
          <w:sz w:val="17"/>
          <w:szCs w:val="17"/>
        </w:rPr>
      </w:pPr>
      <w:r>
        <w:rPr>
          <w:rFonts w:ascii="Arial" w:eastAsia="Calibri" w:hAnsi="Arial" w:cs="Arial"/>
          <w:spacing w:val="-1"/>
          <w:sz w:val="17"/>
          <w:szCs w:val="17"/>
        </w:rPr>
        <w:br w:type="page"/>
      </w:r>
    </w:p>
    <w:p w:rsidR="00780EE6" w:rsidRDefault="00780EE6" w:rsidP="00780EE6">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lastRenderedPageBreak/>
        <w:t>La cual está distribuido de la siguiente manera:</w:t>
      </w:r>
    </w:p>
    <w:p w:rsidR="00780EE6" w:rsidRPr="002D70DA" w:rsidRDefault="00780EE6" w:rsidP="00780EE6">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0A6857" w:rsidRPr="002D70DA" w:rsidTr="006D220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A6857" w:rsidRPr="002D70DA" w:rsidRDefault="000A6857" w:rsidP="000B503E">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A6857" w:rsidRPr="002D70DA" w:rsidRDefault="00FD7D84" w:rsidP="000B503E">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A6857" w:rsidRPr="002D70DA" w:rsidRDefault="00FD7D84" w:rsidP="000B503E">
            <w:pPr>
              <w:jc w:val="center"/>
              <w:rPr>
                <w:rFonts w:ascii="Arial" w:hAnsi="Arial" w:cs="Arial"/>
                <w:b/>
                <w:bCs/>
                <w:color w:val="000000"/>
                <w:sz w:val="17"/>
                <w:szCs w:val="17"/>
              </w:rPr>
            </w:pPr>
            <w:r>
              <w:rPr>
                <w:rFonts w:ascii="Arial" w:hAnsi="Arial" w:cs="Arial"/>
                <w:b/>
                <w:bCs/>
                <w:color w:val="000000"/>
                <w:sz w:val="17"/>
                <w:szCs w:val="17"/>
              </w:rPr>
              <w:t>2019</w:t>
            </w:r>
          </w:p>
        </w:tc>
      </w:tr>
      <w:tr w:rsidR="006D4248" w:rsidRPr="002D70DA" w:rsidTr="006D220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4248" w:rsidRPr="00C34218" w:rsidRDefault="006D4248" w:rsidP="006D4248">
            <w:pPr>
              <w:rPr>
                <w:rFonts w:ascii="Arial" w:hAnsi="Arial" w:cs="Arial"/>
                <w:b/>
                <w:sz w:val="17"/>
                <w:szCs w:val="17"/>
              </w:rPr>
            </w:pPr>
            <w:r w:rsidRPr="00C34218">
              <w:rPr>
                <w:rFonts w:ascii="Arial" w:hAnsi="Arial" w:cs="Arial"/>
                <w:b/>
                <w:sz w:val="17"/>
                <w:szCs w:val="17"/>
              </w:rPr>
              <w:t>Poder Ejecutivo</w:t>
            </w:r>
          </w:p>
        </w:tc>
        <w:tc>
          <w:tcPr>
            <w:tcW w:w="2180" w:type="dxa"/>
            <w:tcBorders>
              <w:top w:val="single" w:sz="4" w:space="0" w:color="auto"/>
              <w:left w:val="nil"/>
              <w:bottom w:val="single" w:sz="4" w:space="0" w:color="auto"/>
              <w:right w:val="single" w:sz="4" w:space="0" w:color="auto"/>
            </w:tcBorders>
            <w:shd w:val="clear" w:color="auto" w:fill="auto"/>
          </w:tcPr>
          <w:p w:rsidR="006D4248" w:rsidRPr="006D2209" w:rsidRDefault="006D4248" w:rsidP="006D2209">
            <w:pPr>
              <w:jc w:val="right"/>
              <w:rPr>
                <w:rFonts w:ascii="Arial" w:hAnsi="Arial" w:cs="Arial"/>
                <w:b/>
                <w:sz w:val="17"/>
                <w:szCs w:val="17"/>
              </w:rPr>
            </w:pPr>
            <w:r w:rsidRPr="006D2209">
              <w:rPr>
                <w:rFonts w:ascii="Arial" w:hAnsi="Arial" w:cs="Arial"/>
                <w:b/>
                <w:sz w:val="17"/>
                <w:szCs w:val="17"/>
              </w:rPr>
              <w:t>50,860,357</w:t>
            </w:r>
          </w:p>
        </w:tc>
        <w:tc>
          <w:tcPr>
            <w:tcW w:w="2180" w:type="dxa"/>
            <w:tcBorders>
              <w:top w:val="single" w:sz="4" w:space="0" w:color="auto"/>
              <w:left w:val="nil"/>
              <w:bottom w:val="single" w:sz="4" w:space="0" w:color="auto"/>
              <w:right w:val="single" w:sz="4" w:space="0" w:color="auto"/>
            </w:tcBorders>
            <w:shd w:val="clear" w:color="auto" w:fill="auto"/>
          </w:tcPr>
          <w:p w:rsidR="006D4248" w:rsidRPr="006D4248" w:rsidRDefault="006D4248" w:rsidP="006D4248">
            <w:pPr>
              <w:jc w:val="right"/>
              <w:rPr>
                <w:rFonts w:ascii="Arial" w:hAnsi="Arial" w:cs="Arial"/>
                <w:b/>
                <w:sz w:val="17"/>
                <w:szCs w:val="17"/>
              </w:rPr>
            </w:pPr>
            <w:r w:rsidRPr="006D4248">
              <w:rPr>
                <w:rFonts w:ascii="Arial" w:hAnsi="Arial" w:cs="Arial"/>
                <w:b/>
                <w:sz w:val="17"/>
                <w:szCs w:val="17"/>
              </w:rPr>
              <w:t xml:space="preserve">7,039,674 </w:t>
            </w:r>
          </w:p>
        </w:tc>
      </w:tr>
      <w:tr w:rsidR="006D2209" w:rsidRPr="002D70DA" w:rsidTr="006D220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2209" w:rsidRPr="00C34218" w:rsidRDefault="006D2209" w:rsidP="006D2209">
            <w:pPr>
              <w:rPr>
                <w:rFonts w:ascii="Arial" w:hAnsi="Arial" w:cs="Arial"/>
                <w:b/>
                <w:sz w:val="17"/>
                <w:szCs w:val="17"/>
              </w:rPr>
            </w:pPr>
            <w:r w:rsidRPr="00C34218">
              <w:rPr>
                <w:rFonts w:ascii="Arial" w:hAnsi="Arial" w:cs="Arial"/>
                <w:b/>
                <w:sz w:val="17"/>
                <w:szCs w:val="17"/>
              </w:rPr>
              <w:t>Poder Legislativo</w:t>
            </w:r>
          </w:p>
        </w:tc>
        <w:tc>
          <w:tcPr>
            <w:tcW w:w="2180" w:type="dxa"/>
            <w:tcBorders>
              <w:top w:val="single" w:sz="4" w:space="0" w:color="auto"/>
              <w:left w:val="nil"/>
              <w:bottom w:val="single" w:sz="4" w:space="0" w:color="auto"/>
              <w:right w:val="single" w:sz="4" w:space="0" w:color="auto"/>
            </w:tcBorders>
            <w:shd w:val="clear" w:color="auto" w:fill="auto"/>
          </w:tcPr>
          <w:p w:rsidR="006D2209" w:rsidRPr="006D2209" w:rsidRDefault="006D2209" w:rsidP="006D2209">
            <w:pPr>
              <w:jc w:val="right"/>
              <w:rPr>
                <w:rFonts w:ascii="Arial" w:hAnsi="Arial" w:cs="Arial"/>
                <w:b/>
                <w:sz w:val="17"/>
                <w:szCs w:val="17"/>
              </w:rPr>
            </w:pPr>
            <w:r w:rsidRPr="006D2209">
              <w:rPr>
                <w:rFonts w:ascii="Arial" w:hAnsi="Arial" w:cs="Arial"/>
                <w:b/>
                <w:sz w:val="17"/>
                <w:szCs w:val="17"/>
              </w:rPr>
              <w:t xml:space="preserve">75,612 </w:t>
            </w:r>
          </w:p>
        </w:tc>
        <w:tc>
          <w:tcPr>
            <w:tcW w:w="2180" w:type="dxa"/>
            <w:tcBorders>
              <w:top w:val="single" w:sz="4" w:space="0" w:color="auto"/>
              <w:left w:val="nil"/>
              <w:bottom w:val="single" w:sz="4" w:space="0" w:color="auto"/>
              <w:right w:val="single" w:sz="4" w:space="0" w:color="auto"/>
            </w:tcBorders>
            <w:shd w:val="clear" w:color="auto" w:fill="auto"/>
          </w:tcPr>
          <w:p w:rsidR="006D2209" w:rsidRPr="006D4248" w:rsidRDefault="006D2209" w:rsidP="006D2209">
            <w:pPr>
              <w:jc w:val="right"/>
              <w:rPr>
                <w:rFonts w:ascii="Arial" w:hAnsi="Arial" w:cs="Arial"/>
                <w:b/>
                <w:sz w:val="17"/>
                <w:szCs w:val="17"/>
              </w:rPr>
            </w:pPr>
            <w:r w:rsidRPr="006D4248">
              <w:rPr>
                <w:rFonts w:ascii="Arial" w:hAnsi="Arial" w:cs="Arial"/>
                <w:b/>
                <w:sz w:val="17"/>
                <w:szCs w:val="17"/>
              </w:rPr>
              <w:t xml:space="preserve">23,927 </w:t>
            </w:r>
          </w:p>
        </w:tc>
      </w:tr>
      <w:tr w:rsidR="006D2209" w:rsidRPr="002D70DA" w:rsidTr="006D220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2209" w:rsidRPr="00C34218" w:rsidRDefault="006D2209" w:rsidP="006D2209">
            <w:pPr>
              <w:rPr>
                <w:rFonts w:ascii="Arial" w:hAnsi="Arial" w:cs="Arial"/>
                <w:b/>
                <w:sz w:val="17"/>
                <w:szCs w:val="17"/>
              </w:rPr>
            </w:pPr>
            <w:r w:rsidRPr="00C34218">
              <w:rPr>
                <w:rFonts w:ascii="Arial" w:hAnsi="Arial" w:cs="Arial"/>
                <w:b/>
                <w:sz w:val="17"/>
                <w:szCs w:val="17"/>
              </w:rPr>
              <w:t>Órganos Autónomos</w:t>
            </w:r>
          </w:p>
        </w:tc>
        <w:tc>
          <w:tcPr>
            <w:tcW w:w="2180" w:type="dxa"/>
            <w:tcBorders>
              <w:top w:val="single" w:sz="4" w:space="0" w:color="auto"/>
              <w:left w:val="nil"/>
              <w:bottom w:val="single" w:sz="4" w:space="0" w:color="auto"/>
              <w:right w:val="single" w:sz="4" w:space="0" w:color="auto"/>
            </w:tcBorders>
            <w:shd w:val="clear" w:color="auto" w:fill="auto"/>
          </w:tcPr>
          <w:p w:rsidR="006D2209" w:rsidRPr="006D2209" w:rsidRDefault="006D2209" w:rsidP="006D2209">
            <w:pPr>
              <w:jc w:val="right"/>
              <w:rPr>
                <w:rFonts w:ascii="Arial" w:hAnsi="Arial" w:cs="Arial"/>
                <w:b/>
                <w:sz w:val="17"/>
                <w:szCs w:val="17"/>
              </w:rPr>
            </w:pPr>
            <w:r w:rsidRPr="006D2209">
              <w:rPr>
                <w:rFonts w:ascii="Arial" w:hAnsi="Arial" w:cs="Arial"/>
                <w:b/>
                <w:sz w:val="17"/>
                <w:szCs w:val="17"/>
              </w:rPr>
              <w:t xml:space="preserve">484,848 </w:t>
            </w:r>
          </w:p>
        </w:tc>
        <w:tc>
          <w:tcPr>
            <w:tcW w:w="2180" w:type="dxa"/>
            <w:tcBorders>
              <w:top w:val="single" w:sz="4" w:space="0" w:color="auto"/>
              <w:left w:val="nil"/>
              <w:bottom w:val="single" w:sz="4" w:space="0" w:color="auto"/>
              <w:right w:val="single" w:sz="4" w:space="0" w:color="auto"/>
            </w:tcBorders>
            <w:shd w:val="clear" w:color="auto" w:fill="auto"/>
          </w:tcPr>
          <w:p w:rsidR="006D2209" w:rsidRPr="006D4248" w:rsidRDefault="006D2209" w:rsidP="006D2209">
            <w:pPr>
              <w:jc w:val="right"/>
              <w:rPr>
                <w:rFonts w:ascii="Arial" w:hAnsi="Arial" w:cs="Arial"/>
                <w:b/>
                <w:sz w:val="17"/>
                <w:szCs w:val="17"/>
              </w:rPr>
            </w:pPr>
            <w:r w:rsidRPr="006D4248">
              <w:rPr>
                <w:rFonts w:ascii="Arial" w:hAnsi="Arial" w:cs="Arial"/>
                <w:b/>
                <w:sz w:val="17"/>
                <w:szCs w:val="17"/>
              </w:rPr>
              <w:t xml:space="preserve">581,576 </w:t>
            </w:r>
          </w:p>
        </w:tc>
      </w:tr>
      <w:tr w:rsidR="006D2209" w:rsidRPr="002D70DA" w:rsidTr="006D220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2209" w:rsidRPr="00560A6D" w:rsidRDefault="006D2209" w:rsidP="006D2209">
            <w:pPr>
              <w:ind w:left="497"/>
              <w:rPr>
                <w:rFonts w:ascii="Arial" w:hAnsi="Arial" w:cs="Arial"/>
                <w:sz w:val="17"/>
                <w:szCs w:val="17"/>
              </w:rPr>
            </w:pPr>
            <w:r w:rsidRPr="00C34218">
              <w:rPr>
                <w:rFonts w:ascii="Arial" w:hAnsi="Arial" w:cs="Arial"/>
                <w:sz w:val="17"/>
                <w:szCs w:val="17"/>
              </w:rPr>
              <w:t>Defensoría de los Derechos Humanos de Querétaro</w:t>
            </w:r>
          </w:p>
        </w:tc>
        <w:tc>
          <w:tcPr>
            <w:tcW w:w="2180" w:type="dxa"/>
            <w:tcBorders>
              <w:top w:val="single" w:sz="4" w:space="0" w:color="auto"/>
              <w:left w:val="nil"/>
              <w:bottom w:val="single" w:sz="4" w:space="0" w:color="auto"/>
              <w:right w:val="single" w:sz="4" w:space="0" w:color="auto"/>
            </w:tcBorders>
            <w:shd w:val="clear" w:color="auto" w:fill="auto"/>
          </w:tcPr>
          <w:p w:rsidR="006D2209" w:rsidRPr="006D2209" w:rsidRDefault="006D2209" w:rsidP="006D2209">
            <w:pPr>
              <w:jc w:val="right"/>
              <w:rPr>
                <w:rFonts w:ascii="Arial" w:hAnsi="Arial" w:cs="Arial"/>
                <w:sz w:val="17"/>
                <w:szCs w:val="17"/>
              </w:rPr>
            </w:pPr>
            <w:r w:rsidRPr="006D2209">
              <w:rPr>
                <w:rFonts w:ascii="Arial" w:hAnsi="Arial" w:cs="Arial"/>
                <w:sz w:val="17"/>
                <w:szCs w:val="17"/>
              </w:rPr>
              <w:t xml:space="preserve">3,075 </w:t>
            </w:r>
          </w:p>
        </w:tc>
        <w:tc>
          <w:tcPr>
            <w:tcW w:w="2180" w:type="dxa"/>
            <w:tcBorders>
              <w:top w:val="single" w:sz="4" w:space="0" w:color="auto"/>
              <w:left w:val="nil"/>
              <w:bottom w:val="single" w:sz="4" w:space="0" w:color="auto"/>
              <w:right w:val="single" w:sz="4" w:space="0" w:color="auto"/>
            </w:tcBorders>
            <w:shd w:val="clear" w:color="auto" w:fill="auto"/>
          </w:tcPr>
          <w:p w:rsidR="006D2209" w:rsidRPr="006D4248" w:rsidRDefault="006D2209" w:rsidP="006D2209">
            <w:pPr>
              <w:jc w:val="right"/>
              <w:rPr>
                <w:rFonts w:ascii="Arial" w:hAnsi="Arial" w:cs="Arial"/>
                <w:sz w:val="17"/>
                <w:szCs w:val="17"/>
              </w:rPr>
            </w:pPr>
            <w:r w:rsidRPr="006D4248">
              <w:rPr>
                <w:rFonts w:ascii="Arial" w:hAnsi="Arial" w:cs="Arial"/>
                <w:sz w:val="17"/>
                <w:szCs w:val="17"/>
              </w:rPr>
              <w:t xml:space="preserve">3,252 </w:t>
            </w:r>
          </w:p>
        </w:tc>
      </w:tr>
      <w:tr w:rsidR="006D2209" w:rsidRPr="002D70DA" w:rsidTr="006D220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2209" w:rsidRPr="00C34218" w:rsidRDefault="006D2209" w:rsidP="006D2209">
            <w:pPr>
              <w:ind w:left="497"/>
              <w:rPr>
                <w:rFonts w:ascii="Arial" w:hAnsi="Arial" w:cs="Arial"/>
                <w:sz w:val="17"/>
                <w:szCs w:val="17"/>
              </w:rPr>
            </w:pPr>
            <w:r w:rsidRPr="00C34218">
              <w:rPr>
                <w:rFonts w:ascii="Arial" w:hAnsi="Arial" w:cs="Arial"/>
                <w:sz w:val="17"/>
                <w:szCs w:val="17"/>
              </w:rPr>
              <w:t>Entidad Superior de Fiscalización del Estado de</w:t>
            </w:r>
          </w:p>
          <w:p w:rsidR="006D2209" w:rsidRPr="00C34218" w:rsidRDefault="006D2209" w:rsidP="006D2209">
            <w:pPr>
              <w:ind w:left="497"/>
              <w:rPr>
                <w:rFonts w:ascii="Arial" w:hAnsi="Arial" w:cs="Arial"/>
                <w:sz w:val="17"/>
                <w:szCs w:val="17"/>
              </w:rPr>
            </w:pPr>
            <w:r w:rsidRPr="00C34218">
              <w:rPr>
                <w:rFonts w:ascii="Arial" w:hAnsi="Arial" w:cs="Arial"/>
                <w:sz w:val="17"/>
                <w:szCs w:val="17"/>
              </w:rPr>
              <w:t>Querétaro</w:t>
            </w:r>
          </w:p>
        </w:tc>
        <w:tc>
          <w:tcPr>
            <w:tcW w:w="2180" w:type="dxa"/>
            <w:tcBorders>
              <w:top w:val="single" w:sz="4" w:space="0" w:color="auto"/>
              <w:left w:val="nil"/>
              <w:bottom w:val="single" w:sz="4" w:space="0" w:color="auto"/>
              <w:right w:val="single" w:sz="4" w:space="0" w:color="auto"/>
            </w:tcBorders>
            <w:shd w:val="clear" w:color="auto" w:fill="auto"/>
          </w:tcPr>
          <w:p w:rsidR="006D2209" w:rsidRPr="006D2209" w:rsidRDefault="006D2209" w:rsidP="006D2209">
            <w:pPr>
              <w:jc w:val="right"/>
              <w:rPr>
                <w:rFonts w:ascii="Arial" w:hAnsi="Arial" w:cs="Arial"/>
                <w:sz w:val="17"/>
                <w:szCs w:val="17"/>
              </w:rPr>
            </w:pPr>
            <w:r w:rsidRPr="006D2209">
              <w:rPr>
                <w:rFonts w:ascii="Arial" w:hAnsi="Arial" w:cs="Arial"/>
                <w:sz w:val="17"/>
                <w:szCs w:val="17"/>
              </w:rPr>
              <w:t xml:space="preserve">10,226 </w:t>
            </w:r>
          </w:p>
        </w:tc>
        <w:tc>
          <w:tcPr>
            <w:tcW w:w="2180" w:type="dxa"/>
            <w:tcBorders>
              <w:top w:val="single" w:sz="4" w:space="0" w:color="auto"/>
              <w:left w:val="nil"/>
              <w:bottom w:val="single" w:sz="4" w:space="0" w:color="auto"/>
              <w:right w:val="single" w:sz="4" w:space="0" w:color="auto"/>
            </w:tcBorders>
            <w:shd w:val="clear" w:color="auto" w:fill="auto"/>
          </w:tcPr>
          <w:p w:rsidR="006D2209" w:rsidRPr="006D4248" w:rsidRDefault="006D2209" w:rsidP="006D2209">
            <w:pPr>
              <w:jc w:val="right"/>
              <w:rPr>
                <w:rFonts w:ascii="Arial" w:hAnsi="Arial" w:cs="Arial"/>
                <w:sz w:val="17"/>
                <w:szCs w:val="17"/>
              </w:rPr>
            </w:pPr>
            <w:r w:rsidRPr="006D4248">
              <w:rPr>
                <w:rFonts w:ascii="Arial" w:hAnsi="Arial" w:cs="Arial"/>
                <w:sz w:val="17"/>
                <w:szCs w:val="17"/>
              </w:rPr>
              <w:t xml:space="preserve">115,125 </w:t>
            </w:r>
          </w:p>
        </w:tc>
      </w:tr>
      <w:tr w:rsidR="006D4248" w:rsidRPr="002D70DA" w:rsidTr="006D220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4248" w:rsidRPr="00C34218" w:rsidRDefault="006D4248" w:rsidP="006D4248">
            <w:pPr>
              <w:ind w:left="497"/>
              <w:rPr>
                <w:rFonts w:ascii="Arial" w:hAnsi="Arial" w:cs="Arial"/>
                <w:sz w:val="17"/>
                <w:szCs w:val="17"/>
              </w:rPr>
            </w:pPr>
            <w:r w:rsidRPr="00C34218">
              <w:rPr>
                <w:rFonts w:ascii="Arial" w:hAnsi="Arial" w:cs="Arial"/>
                <w:sz w:val="17"/>
                <w:szCs w:val="17"/>
              </w:rPr>
              <w:t>Fiscalía General del Estado</w:t>
            </w:r>
          </w:p>
        </w:tc>
        <w:tc>
          <w:tcPr>
            <w:tcW w:w="2180" w:type="dxa"/>
            <w:tcBorders>
              <w:top w:val="single" w:sz="4" w:space="0" w:color="auto"/>
              <w:left w:val="nil"/>
              <w:bottom w:val="single" w:sz="4" w:space="0" w:color="auto"/>
              <w:right w:val="single" w:sz="4" w:space="0" w:color="auto"/>
            </w:tcBorders>
            <w:shd w:val="clear" w:color="auto" w:fill="auto"/>
          </w:tcPr>
          <w:p w:rsidR="006D4248" w:rsidRPr="006D2209" w:rsidRDefault="006D2209" w:rsidP="006D4248">
            <w:pPr>
              <w:jc w:val="right"/>
              <w:rPr>
                <w:rFonts w:ascii="Arial" w:hAnsi="Arial" w:cs="Arial"/>
                <w:sz w:val="17"/>
                <w:szCs w:val="17"/>
              </w:rPr>
            </w:pPr>
            <w:r w:rsidRPr="006D2209">
              <w:rPr>
                <w:rFonts w:ascii="Arial" w:hAnsi="Arial" w:cs="Arial"/>
                <w:sz w:val="17"/>
                <w:szCs w:val="17"/>
              </w:rPr>
              <w:t>0</w:t>
            </w:r>
            <w:r w:rsidR="006D4248" w:rsidRPr="006D2209">
              <w:rPr>
                <w:rFonts w:ascii="Arial" w:hAnsi="Arial" w:cs="Arial"/>
                <w:sz w:val="17"/>
                <w:szCs w:val="17"/>
              </w:rPr>
              <w:t xml:space="preserve"> </w:t>
            </w:r>
          </w:p>
        </w:tc>
        <w:tc>
          <w:tcPr>
            <w:tcW w:w="2180" w:type="dxa"/>
            <w:tcBorders>
              <w:top w:val="single" w:sz="4" w:space="0" w:color="auto"/>
              <w:left w:val="nil"/>
              <w:bottom w:val="single" w:sz="4" w:space="0" w:color="auto"/>
              <w:right w:val="single" w:sz="4" w:space="0" w:color="auto"/>
            </w:tcBorders>
            <w:shd w:val="clear" w:color="auto" w:fill="auto"/>
          </w:tcPr>
          <w:p w:rsidR="006D4248" w:rsidRPr="006D4248" w:rsidRDefault="006D4248" w:rsidP="006D4248">
            <w:pPr>
              <w:jc w:val="right"/>
              <w:rPr>
                <w:rFonts w:ascii="Arial" w:hAnsi="Arial" w:cs="Arial"/>
                <w:sz w:val="17"/>
                <w:szCs w:val="17"/>
              </w:rPr>
            </w:pPr>
            <w:r w:rsidRPr="006D4248">
              <w:rPr>
                <w:rFonts w:ascii="Arial" w:hAnsi="Arial" w:cs="Arial"/>
                <w:sz w:val="17"/>
                <w:szCs w:val="17"/>
              </w:rPr>
              <w:t xml:space="preserve">-13,840 </w:t>
            </w:r>
          </w:p>
        </w:tc>
      </w:tr>
      <w:tr w:rsidR="006D2209" w:rsidRPr="002D70DA" w:rsidTr="006D220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2209" w:rsidRPr="00560A6D" w:rsidRDefault="006D2209" w:rsidP="006D2209">
            <w:pPr>
              <w:ind w:left="497"/>
              <w:rPr>
                <w:rFonts w:ascii="Arial" w:hAnsi="Arial" w:cs="Arial"/>
                <w:sz w:val="17"/>
                <w:szCs w:val="17"/>
              </w:rPr>
            </w:pPr>
            <w:r w:rsidRPr="00C34218">
              <w:rPr>
                <w:rFonts w:ascii="Arial" w:hAnsi="Arial" w:cs="Arial"/>
                <w:sz w:val="17"/>
                <w:szCs w:val="17"/>
              </w:rPr>
              <w:t>Instituto Electoral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6D2209" w:rsidRPr="006D2209" w:rsidRDefault="006D2209" w:rsidP="006D2209">
            <w:pPr>
              <w:jc w:val="right"/>
              <w:rPr>
                <w:rFonts w:ascii="Arial" w:hAnsi="Arial" w:cs="Arial"/>
                <w:sz w:val="17"/>
                <w:szCs w:val="17"/>
              </w:rPr>
            </w:pPr>
            <w:r w:rsidRPr="006D2209">
              <w:rPr>
                <w:rFonts w:ascii="Arial" w:hAnsi="Arial" w:cs="Arial"/>
                <w:sz w:val="17"/>
                <w:szCs w:val="17"/>
              </w:rPr>
              <w:t xml:space="preserve">59,149 </w:t>
            </w:r>
          </w:p>
        </w:tc>
        <w:tc>
          <w:tcPr>
            <w:tcW w:w="2180" w:type="dxa"/>
            <w:tcBorders>
              <w:top w:val="single" w:sz="4" w:space="0" w:color="auto"/>
              <w:left w:val="nil"/>
              <w:bottom w:val="single" w:sz="4" w:space="0" w:color="auto"/>
              <w:right w:val="single" w:sz="4" w:space="0" w:color="auto"/>
            </w:tcBorders>
            <w:shd w:val="clear" w:color="auto" w:fill="auto"/>
          </w:tcPr>
          <w:p w:rsidR="006D2209" w:rsidRPr="006D4248" w:rsidRDefault="006D2209" w:rsidP="006D2209">
            <w:pPr>
              <w:jc w:val="right"/>
              <w:rPr>
                <w:rFonts w:ascii="Arial" w:hAnsi="Arial" w:cs="Arial"/>
                <w:sz w:val="17"/>
                <w:szCs w:val="17"/>
              </w:rPr>
            </w:pPr>
            <w:r w:rsidRPr="006D4248">
              <w:rPr>
                <w:rFonts w:ascii="Arial" w:hAnsi="Arial" w:cs="Arial"/>
                <w:sz w:val="17"/>
                <w:szCs w:val="17"/>
              </w:rPr>
              <w:t xml:space="preserve">72,673 </w:t>
            </w:r>
          </w:p>
        </w:tc>
      </w:tr>
      <w:tr w:rsidR="006D2209" w:rsidRPr="002D70DA" w:rsidTr="006D220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2209" w:rsidRPr="00C34218" w:rsidRDefault="006D2209" w:rsidP="006D2209">
            <w:pPr>
              <w:ind w:left="497"/>
              <w:rPr>
                <w:rFonts w:ascii="Arial" w:hAnsi="Arial" w:cs="Arial"/>
                <w:sz w:val="17"/>
                <w:szCs w:val="17"/>
              </w:rPr>
            </w:pPr>
            <w:r w:rsidRPr="00C34218">
              <w:rPr>
                <w:rFonts w:ascii="Arial" w:hAnsi="Arial" w:cs="Arial"/>
                <w:sz w:val="17"/>
                <w:szCs w:val="17"/>
              </w:rPr>
              <w:t>Tribunal de Conciliación y Arbitraje</w:t>
            </w:r>
          </w:p>
        </w:tc>
        <w:tc>
          <w:tcPr>
            <w:tcW w:w="2180" w:type="dxa"/>
            <w:tcBorders>
              <w:top w:val="single" w:sz="4" w:space="0" w:color="auto"/>
              <w:left w:val="nil"/>
              <w:bottom w:val="single" w:sz="4" w:space="0" w:color="auto"/>
              <w:right w:val="single" w:sz="4" w:space="0" w:color="auto"/>
            </w:tcBorders>
            <w:shd w:val="clear" w:color="auto" w:fill="auto"/>
          </w:tcPr>
          <w:p w:rsidR="006D2209" w:rsidRPr="006D2209" w:rsidRDefault="006D2209" w:rsidP="006D2209">
            <w:pPr>
              <w:jc w:val="right"/>
              <w:rPr>
                <w:rFonts w:ascii="Arial" w:hAnsi="Arial" w:cs="Arial"/>
                <w:sz w:val="17"/>
                <w:szCs w:val="17"/>
              </w:rPr>
            </w:pPr>
            <w:r w:rsidRPr="006D2209">
              <w:rPr>
                <w:rFonts w:ascii="Arial" w:hAnsi="Arial" w:cs="Arial"/>
                <w:sz w:val="17"/>
                <w:szCs w:val="17"/>
              </w:rPr>
              <w:t xml:space="preserve">385,941 </w:t>
            </w:r>
          </w:p>
        </w:tc>
        <w:tc>
          <w:tcPr>
            <w:tcW w:w="2180" w:type="dxa"/>
            <w:tcBorders>
              <w:top w:val="single" w:sz="4" w:space="0" w:color="auto"/>
              <w:left w:val="nil"/>
              <w:bottom w:val="single" w:sz="4" w:space="0" w:color="auto"/>
              <w:right w:val="single" w:sz="4" w:space="0" w:color="auto"/>
            </w:tcBorders>
            <w:shd w:val="clear" w:color="auto" w:fill="auto"/>
          </w:tcPr>
          <w:p w:rsidR="006D2209" w:rsidRPr="006D4248" w:rsidRDefault="006D2209" w:rsidP="006D2209">
            <w:pPr>
              <w:jc w:val="right"/>
              <w:rPr>
                <w:rFonts w:ascii="Arial" w:hAnsi="Arial" w:cs="Arial"/>
                <w:sz w:val="17"/>
                <w:szCs w:val="17"/>
              </w:rPr>
            </w:pPr>
            <w:r w:rsidRPr="006D4248">
              <w:rPr>
                <w:rFonts w:ascii="Arial" w:hAnsi="Arial" w:cs="Arial"/>
                <w:sz w:val="17"/>
                <w:szCs w:val="17"/>
              </w:rPr>
              <w:t xml:space="preserve">393,782 </w:t>
            </w:r>
          </w:p>
        </w:tc>
      </w:tr>
      <w:tr w:rsidR="006D2209" w:rsidRPr="002D70DA" w:rsidTr="006D220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2209" w:rsidRPr="00C34218" w:rsidRDefault="006D2209" w:rsidP="006D2209">
            <w:pPr>
              <w:ind w:left="497"/>
              <w:rPr>
                <w:rFonts w:ascii="Arial" w:hAnsi="Arial" w:cs="Arial"/>
                <w:sz w:val="17"/>
                <w:szCs w:val="17"/>
              </w:rPr>
            </w:pPr>
            <w:r w:rsidRPr="00C34218">
              <w:rPr>
                <w:rFonts w:ascii="Arial" w:hAnsi="Arial" w:cs="Arial"/>
                <w:sz w:val="17"/>
                <w:szCs w:val="17"/>
              </w:rPr>
              <w:t>Tribunal de Justicia Administrativa del Estado de</w:t>
            </w:r>
          </w:p>
          <w:p w:rsidR="006D2209" w:rsidRPr="00560A6D" w:rsidRDefault="006D2209" w:rsidP="006D2209">
            <w:pPr>
              <w:ind w:left="497"/>
              <w:rPr>
                <w:rFonts w:ascii="Arial" w:hAnsi="Arial" w:cs="Arial"/>
                <w:sz w:val="17"/>
                <w:szCs w:val="17"/>
              </w:rPr>
            </w:pPr>
            <w:r w:rsidRPr="00C34218">
              <w:rPr>
                <w:rFonts w:ascii="Arial" w:hAnsi="Arial" w:cs="Arial"/>
                <w:sz w:val="17"/>
                <w:szCs w:val="17"/>
              </w:rPr>
              <w:t>Querétaro</w:t>
            </w:r>
          </w:p>
        </w:tc>
        <w:tc>
          <w:tcPr>
            <w:tcW w:w="2180" w:type="dxa"/>
            <w:tcBorders>
              <w:top w:val="single" w:sz="4" w:space="0" w:color="auto"/>
              <w:left w:val="nil"/>
              <w:bottom w:val="single" w:sz="4" w:space="0" w:color="auto"/>
              <w:right w:val="single" w:sz="4" w:space="0" w:color="auto"/>
            </w:tcBorders>
            <w:shd w:val="clear" w:color="auto" w:fill="auto"/>
          </w:tcPr>
          <w:p w:rsidR="006D2209" w:rsidRPr="006D2209" w:rsidRDefault="006D2209" w:rsidP="006D2209">
            <w:pPr>
              <w:jc w:val="right"/>
              <w:rPr>
                <w:rFonts w:ascii="Arial" w:hAnsi="Arial" w:cs="Arial"/>
                <w:sz w:val="17"/>
                <w:szCs w:val="17"/>
              </w:rPr>
            </w:pPr>
            <w:r w:rsidRPr="006D2209">
              <w:rPr>
                <w:rFonts w:ascii="Arial" w:hAnsi="Arial" w:cs="Arial"/>
                <w:sz w:val="17"/>
                <w:szCs w:val="17"/>
              </w:rPr>
              <w:t xml:space="preserve">18,553 </w:t>
            </w:r>
          </w:p>
        </w:tc>
        <w:tc>
          <w:tcPr>
            <w:tcW w:w="2180" w:type="dxa"/>
            <w:tcBorders>
              <w:top w:val="single" w:sz="4" w:space="0" w:color="auto"/>
              <w:left w:val="nil"/>
              <w:bottom w:val="single" w:sz="4" w:space="0" w:color="auto"/>
              <w:right w:val="single" w:sz="4" w:space="0" w:color="auto"/>
            </w:tcBorders>
            <w:shd w:val="clear" w:color="auto" w:fill="auto"/>
          </w:tcPr>
          <w:p w:rsidR="006D2209" w:rsidRPr="006D4248" w:rsidRDefault="006D2209" w:rsidP="006D2209">
            <w:pPr>
              <w:jc w:val="right"/>
              <w:rPr>
                <w:rFonts w:ascii="Arial" w:hAnsi="Arial" w:cs="Arial"/>
                <w:sz w:val="17"/>
                <w:szCs w:val="17"/>
              </w:rPr>
            </w:pPr>
            <w:r w:rsidRPr="006D4248">
              <w:rPr>
                <w:rFonts w:ascii="Arial" w:hAnsi="Arial" w:cs="Arial"/>
                <w:sz w:val="17"/>
                <w:szCs w:val="17"/>
              </w:rPr>
              <w:t xml:space="preserve">6,965 </w:t>
            </w:r>
          </w:p>
        </w:tc>
      </w:tr>
      <w:tr w:rsidR="006D2209" w:rsidRPr="002D70DA" w:rsidTr="006D220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2209" w:rsidRPr="00560A6D" w:rsidRDefault="006D2209" w:rsidP="006D2209">
            <w:pPr>
              <w:ind w:left="497"/>
              <w:rPr>
                <w:rFonts w:ascii="Arial" w:hAnsi="Arial" w:cs="Arial"/>
                <w:sz w:val="17"/>
                <w:szCs w:val="17"/>
              </w:rPr>
            </w:pPr>
            <w:r w:rsidRPr="00C34218">
              <w:rPr>
                <w:rFonts w:ascii="Arial" w:hAnsi="Arial" w:cs="Arial"/>
                <w:sz w:val="17"/>
                <w:szCs w:val="17"/>
              </w:rPr>
              <w:t>Tribunal Electoral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6D2209" w:rsidRPr="006D2209" w:rsidRDefault="006D2209" w:rsidP="006D2209">
            <w:pPr>
              <w:jc w:val="right"/>
              <w:rPr>
                <w:rFonts w:ascii="Arial" w:hAnsi="Arial" w:cs="Arial"/>
                <w:sz w:val="17"/>
                <w:szCs w:val="17"/>
              </w:rPr>
            </w:pPr>
            <w:r w:rsidRPr="006D2209">
              <w:rPr>
                <w:rFonts w:ascii="Arial" w:hAnsi="Arial" w:cs="Arial"/>
                <w:sz w:val="17"/>
                <w:szCs w:val="17"/>
              </w:rPr>
              <w:t xml:space="preserve">7,904 </w:t>
            </w:r>
          </w:p>
        </w:tc>
        <w:tc>
          <w:tcPr>
            <w:tcW w:w="2180" w:type="dxa"/>
            <w:tcBorders>
              <w:top w:val="single" w:sz="4" w:space="0" w:color="auto"/>
              <w:left w:val="nil"/>
              <w:bottom w:val="single" w:sz="4" w:space="0" w:color="auto"/>
              <w:right w:val="single" w:sz="4" w:space="0" w:color="auto"/>
            </w:tcBorders>
            <w:shd w:val="clear" w:color="auto" w:fill="auto"/>
          </w:tcPr>
          <w:p w:rsidR="006D2209" w:rsidRPr="006D4248" w:rsidRDefault="006D2209" w:rsidP="006D2209">
            <w:pPr>
              <w:jc w:val="right"/>
              <w:rPr>
                <w:rFonts w:ascii="Arial" w:hAnsi="Arial" w:cs="Arial"/>
                <w:sz w:val="17"/>
                <w:szCs w:val="17"/>
              </w:rPr>
            </w:pPr>
            <w:r w:rsidRPr="006D4248">
              <w:rPr>
                <w:rFonts w:ascii="Arial" w:hAnsi="Arial" w:cs="Arial"/>
                <w:sz w:val="17"/>
                <w:szCs w:val="17"/>
              </w:rPr>
              <w:t xml:space="preserve">3,620 </w:t>
            </w:r>
          </w:p>
        </w:tc>
      </w:tr>
      <w:tr w:rsidR="006D4248" w:rsidRPr="002D70DA" w:rsidTr="006D2209">
        <w:trPr>
          <w:trHeight w:val="240"/>
          <w:jc w:val="center"/>
        </w:trPr>
        <w:tc>
          <w:tcPr>
            <w:tcW w:w="4900" w:type="dxa"/>
            <w:tcBorders>
              <w:top w:val="nil"/>
              <w:left w:val="nil"/>
              <w:bottom w:val="nil"/>
              <w:right w:val="single" w:sz="4" w:space="0" w:color="auto"/>
            </w:tcBorders>
            <w:shd w:val="clear" w:color="000000" w:fill="FFFFFF"/>
            <w:vAlign w:val="center"/>
            <w:hideMark/>
          </w:tcPr>
          <w:p w:rsidR="006D4248" w:rsidRPr="002D70DA" w:rsidRDefault="006D4248" w:rsidP="006D4248">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6D4248" w:rsidRPr="003474DB" w:rsidRDefault="006D2209" w:rsidP="006D4248">
            <w:pPr>
              <w:jc w:val="right"/>
              <w:rPr>
                <w:rFonts w:ascii="Arial" w:hAnsi="Arial" w:cs="Arial"/>
                <w:b/>
                <w:sz w:val="17"/>
                <w:szCs w:val="17"/>
              </w:rPr>
            </w:pPr>
            <w:r w:rsidRPr="006D2209">
              <w:rPr>
                <w:rFonts w:ascii="Arial" w:hAnsi="Arial" w:cs="Arial"/>
                <w:b/>
                <w:sz w:val="17"/>
                <w:szCs w:val="17"/>
              </w:rPr>
              <w:t>51,420,817</w:t>
            </w:r>
          </w:p>
        </w:tc>
        <w:tc>
          <w:tcPr>
            <w:tcW w:w="2180" w:type="dxa"/>
            <w:tcBorders>
              <w:top w:val="nil"/>
              <w:left w:val="single" w:sz="4" w:space="0" w:color="auto"/>
              <w:bottom w:val="single" w:sz="4" w:space="0" w:color="auto"/>
              <w:right w:val="single" w:sz="4" w:space="0" w:color="auto"/>
            </w:tcBorders>
            <w:shd w:val="clear" w:color="000000" w:fill="FFFFFF"/>
          </w:tcPr>
          <w:p w:rsidR="006D4248" w:rsidRPr="006D4248" w:rsidRDefault="006D4248" w:rsidP="006D4248">
            <w:pPr>
              <w:jc w:val="right"/>
              <w:rPr>
                <w:rFonts w:ascii="Arial" w:hAnsi="Arial" w:cs="Arial"/>
                <w:b/>
                <w:sz w:val="17"/>
                <w:szCs w:val="17"/>
              </w:rPr>
            </w:pPr>
            <w:r w:rsidRPr="006D4248">
              <w:rPr>
                <w:rFonts w:ascii="Arial" w:hAnsi="Arial" w:cs="Arial"/>
                <w:b/>
                <w:sz w:val="17"/>
                <w:szCs w:val="17"/>
              </w:rPr>
              <w:t xml:space="preserve">7,645,177 </w:t>
            </w:r>
          </w:p>
        </w:tc>
      </w:tr>
    </w:tbl>
    <w:p w:rsidR="00583759" w:rsidRDefault="00583759" w:rsidP="00583759">
      <w:pPr>
        <w:spacing w:before="80" w:line="250" w:lineRule="exact"/>
        <w:ind w:left="360"/>
        <w:jc w:val="both"/>
        <w:rPr>
          <w:rFonts w:ascii="Arial" w:eastAsia="Calibri" w:hAnsi="Arial" w:cs="Arial"/>
          <w:b/>
          <w:spacing w:val="-1"/>
          <w:sz w:val="17"/>
          <w:szCs w:val="17"/>
        </w:rPr>
      </w:pPr>
    </w:p>
    <w:p w:rsidR="00583759" w:rsidRDefault="00583759">
      <w:pPr>
        <w:rPr>
          <w:rFonts w:ascii="Arial" w:eastAsia="Calibri" w:hAnsi="Arial" w:cs="Arial"/>
          <w:b/>
          <w:spacing w:val="-1"/>
          <w:sz w:val="17"/>
          <w:szCs w:val="17"/>
        </w:rPr>
      </w:pPr>
    </w:p>
    <w:p w:rsidR="00000A24" w:rsidRPr="002D70DA" w:rsidRDefault="00000A24" w:rsidP="00000A24">
      <w:pPr>
        <w:pStyle w:val="Prrafodelista"/>
        <w:numPr>
          <w:ilvl w:val="0"/>
          <w:numId w:val="8"/>
        </w:numPr>
        <w:spacing w:before="80" w:line="250" w:lineRule="exact"/>
        <w:contextualSpacing w:val="0"/>
        <w:jc w:val="both"/>
        <w:rPr>
          <w:rFonts w:ascii="Arial" w:eastAsia="Calibri" w:hAnsi="Arial" w:cs="Arial"/>
          <w:b/>
          <w:spacing w:val="-1"/>
          <w:sz w:val="17"/>
          <w:szCs w:val="17"/>
        </w:rPr>
      </w:pPr>
      <w:r w:rsidRPr="00000A24">
        <w:rPr>
          <w:rFonts w:ascii="Arial" w:eastAsia="Calibri" w:hAnsi="Arial" w:cs="Arial"/>
          <w:b/>
          <w:spacing w:val="-1"/>
          <w:sz w:val="17"/>
          <w:szCs w:val="17"/>
        </w:rPr>
        <w:t>Derechos a Recibir Bienes o Servicios</w:t>
      </w:r>
      <w:r w:rsidRPr="002D70DA">
        <w:rPr>
          <w:rFonts w:ascii="Arial" w:eastAsia="Calibri" w:hAnsi="Arial" w:cs="Arial"/>
          <w:b/>
          <w:spacing w:val="-1"/>
          <w:sz w:val="17"/>
          <w:szCs w:val="17"/>
        </w:rPr>
        <w:t>:</w:t>
      </w:r>
    </w:p>
    <w:p w:rsidR="00454AB9" w:rsidRDefault="00454AB9" w:rsidP="00454AB9">
      <w:pPr>
        <w:spacing w:before="80" w:line="250" w:lineRule="exact"/>
        <w:ind w:left="709"/>
        <w:jc w:val="both"/>
        <w:rPr>
          <w:rFonts w:ascii="Arial" w:eastAsia="Calibri" w:hAnsi="Arial" w:cs="Arial"/>
          <w:spacing w:val="-1"/>
          <w:sz w:val="17"/>
          <w:szCs w:val="17"/>
        </w:rPr>
      </w:pPr>
      <w:r w:rsidRPr="00B467A0">
        <w:rPr>
          <w:rFonts w:ascii="Arial" w:eastAsia="Calibri" w:hAnsi="Arial" w:cs="Arial"/>
          <w:spacing w:val="-1"/>
          <w:sz w:val="17"/>
          <w:szCs w:val="17"/>
        </w:rPr>
        <w:t>En lo que respecta al rubro Derechos a Recibir Bienes o Servicios se informa</w:t>
      </w:r>
      <w:r w:rsidR="00A872D3">
        <w:rPr>
          <w:rFonts w:ascii="Arial" w:eastAsia="Calibri" w:hAnsi="Arial" w:cs="Arial"/>
          <w:spacing w:val="-1"/>
          <w:sz w:val="17"/>
          <w:szCs w:val="17"/>
        </w:rPr>
        <w:t xml:space="preserve"> que el saldo </w:t>
      </w:r>
      <w:r w:rsidRPr="00B467A0">
        <w:rPr>
          <w:rFonts w:ascii="Arial" w:eastAsia="Calibri" w:hAnsi="Arial" w:cs="Arial"/>
          <w:spacing w:val="-1"/>
          <w:sz w:val="17"/>
          <w:szCs w:val="17"/>
        </w:rPr>
        <w:t xml:space="preserve">al cierre del ejercicio del </w:t>
      </w:r>
      <w:r w:rsidR="00FD7D84">
        <w:rPr>
          <w:rFonts w:ascii="Arial" w:eastAsia="Calibri" w:hAnsi="Arial" w:cs="Arial"/>
          <w:spacing w:val="-1"/>
          <w:sz w:val="17"/>
          <w:szCs w:val="17"/>
        </w:rPr>
        <w:t>2020</w:t>
      </w:r>
      <w:r w:rsidR="00A872D3">
        <w:rPr>
          <w:rFonts w:ascii="Arial" w:eastAsia="Calibri" w:hAnsi="Arial" w:cs="Arial"/>
          <w:spacing w:val="-1"/>
          <w:sz w:val="17"/>
          <w:szCs w:val="17"/>
        </w:rPr>
        <w:t xml:space="preserve"> es de</w:t>
      </w:r>
      <w:r w:rsidR="003F0877">
        <w:rPr>
          <w:rFonts w:ascii="Arial" w:eastAsia="Calibri" w:hAnsi="Arial" w:cs="Arial"/>
          <w:spacing w:val="-1"/>
          <w:sz w:val="17"/>
          <w:szCs w:val="17"/>
        </w:rPr>
        <w:t>:</w:t>
      </w:r>
    </w:p>
    <w:p w:rsidR="003F0877" w:rsidRPr="00ED5AC6" w:rsidRDefault="003F0877" w:rsidP="003F0877">
      <w:pPr>
        <w:pStyle w:val="Prrafodelista"/>
        <w:autoSpaceDE w:val="0"/>
        <w:autoSpaceDN w:val="0"/>
        <w:adjustRightInd w:val="0"/>
        <w:spacing w:before="240" w:after="120"/>
        <w:jc w:val="center"/>
        <w:rPr>
          <w:rFonts w:ascii="Arial" w:eastAsia="Calibri" w:hAnsi="Arial" w:cs="Arial"/>
          <w:b/>
          <w:spacing w:val="-1"/>
          <w:sz w:val="17"/>
          <w:szCs w:val="17"/>
        </w:rPr>
      </w:pPr>
      <w:r w:rsidRPr="00ED5AC6">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3F0877" w:rsidRPr="002D70DA" w:rsidTr="00AE05DD">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F0877" w:rsidRPr="002D70DA" w:rsidRDefault="003F0877" w:rsidP="00C34218">
            <w:pPr>
              <w:jc w:val="center"/>
              <w:rPr>
                <w:rFonts w:ascii="Arial" w:hAnsi="Arial" w:cs="Arial"/>
                <w:b/>
                <w:bCs/>
                <w:color w:val="000000"/>
                <w:sz w:val="17"/>
                <w:szCs w:val="17"/>
              </w:rPr>
            </w:pPr>
            <w:r>
              <w:rPr>
                <w:rFonts w:ascii="Arial" w:hAnsi="Arial" w:cs="Arial"/>
                <w:b/>
                <w:bCs/>
                <w:color w:val="000000"/>
                <w:sz w:val="17"/>
                <w:szCs w:val="17"/>
              </w:rPr>
              <w:t>Concepto</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3F0877" w:rsidRPr="002D70DA" w:rsidRDefault="00FD7D84" w:rsidP="00C34218">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3F0877" w:rsidRPr="002D70DA" w:rsidRDefault="00FD7D84" w:rsidP="00C34218">
            <w:pPr>
              <w:jc w:val="center"/>
              <w:rPr>
                <w:rFonts w:ascii="Arial" w:hAnsi="Arial" w:cs="Arial"/>
                <w:b/>
                <w:bCs/>
                <w:color w:val="000000"/>
                <w:sz w:val="17"/>
                <w:szCs w:val="17"/>
              </w:rPr>
            </w:pPr>
            <w:r>
              <w:rPr>
                <w:rFonts w:ascii="Arial" w:hAnsi="Arial" w:cs="Arial"/>
                <w:b/>
                <w:bCs/>
                <w:color w:val="000000"/>
                <w:sz w:val="17"/>
                <w:szCs w:val="17"/>
              </w:rPr>
              <w:t>2019</w:t>
            </w:r>
          </w:p>
        </w:tc>
      </w:tr>
      <w:tr w:rsidR="00AE05DD" w:rsidRPr="002D70DA" w:rsidTr="00AE05DD">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E05DD" w:rsidRPr="003C2199" w:rsidRDefault="00AE05DD" w:rsidP="00AE05DD">
            <w:pPr>
              <w:rPr>
                <w:rFonts w:ascii="Arial" w:hAnsi="Arial" w:cs="Arial"/>
                <w:sz w:val="17"/>
                <w:szCs w:val="17"/>
              </w:rPr>
            </w:pPr>
            <w:r w:rsidRPr="003C2199">
              <w:rPr>
                <w:rFonts w:ascii="Arial" w:hAnsi="Arial" w:cs="Arial"/>
                <w:sz w:val="17"/>
                <w:szCs w:val="17"/>
              </w:rPr>
              <w:t>Anticipo a Contratistas por Obras Públicas a Corto Plazo</w:t>
            </w:r>
          </w:p>
        </w:tc>
        <w:tc>
          <w:tcPr>
            <w:tcW w:w="2180" w:type="dxa"/>
            <w:tcBorders>
              <w:top w:val="single" w:sz="4" w:space="0" w:color="auto"/>
              <w:left w:val="nil"/>
              <w:bottom w:val="single" w:sz="4" w:space="0" w:color="auto"/>
              <w:right w:val="single" w:sz="4" w:space="0" w:color="auto"/>
            </w:tcBorders>
            <w:shd w:val="clear" w:color="auto" w:fill="auto"/>
          </w:tcPr>
          <w:p w:rsidR="00AE05DD" w:rsidRPr="003C2199" w:rsidRDefault="00AE05DD" w:rsidP="00AE05DD">
            <w:pPr>
              <w:jc w:val="right"/>
              <w:rPr>
                <w:rFonts w:ascii="Arial" w:hAnsi="Arial" w:cs="Arial"/>
                <w:sz w:val="17"/>
                <w:szCs w:val="17"/>
              </w:rPr>
            </w:pPr>
            <w:r w:rsidRPr="003C2199">
              <w:rPr>
                <w:rFonts w:ascii="Arial" w:hAnsi="Arial" w:cs="Arial"/>
                <w:sz w:val="17"/>
                <w:szCs w:val="17"/>
              </w:rPr>
              <w:t xml:space="preserve"> </w:t>
            </w:r>
            <w:r w:rsidRPr="00AE05DD">
              <w:rPr>
                <w:rFonts w:ascii="Arial" w:hAnsi="Arial" w:cs="Arial"/>
                <w:sz w:val="17"/>
                <w:szCs w:val="17"/>
              </w:rPr>
              <w:t>4,360,731</w:t>
            </w:r>
          </w:p>
        </w:tc>
        <w:tc>
          <w:tcPr>
            <w:tcW w:w="2180" w:type="dxa"/>
            <w:tcBorders>
              <w:top w:val="single" w:sz="4" w:space="0" w:color="auto"/>
              <w:left w:val="nil"/>
              <w:bottom w:val="single" w:sz="4" w:space="0" w:color="auto"/>
              <w:right w:val="single" w:sz="4" w:space="0" w:color="auto"/>
            </w:tcBorders>
            <w:shd w:val="clear" w:color="auto" w:fill="auto"/>
          </w:tcPr>
          <w:p w:rsidR="00AE05DD" w:rsidRPr="00AE05DD" w:rsidRDefault="00AE05DD" w:rsidP="00AE05DD">
            <w:pPr>
              <w:jc w:val="right"/>
              <w:rPr>
                <w:rFonts w:ascii="Arial" w:hAnsi="Arial" w:cs="Arial"/>
                <w:sz w:val="17"/>
                <w:szCs w:val="17"/>
              </w:rPr>
            </w:pPr>
            <w:r w:rsidRPr="00AE05DD">
              <w:rPr>
                <w:rFonts w:ascii="Arial" w:hAnsi="Arial" w:cs="Arial"/>
                <w:sz w:val="17"/>
                <w:szCs w:val="17"/>
              </w:rPr>
              <w:t xml:space="preserve"> 160,709 </w:t>
            </w:r>
          </w:p>
        </w:tc>
      </w:tr>
      <w:tr w:rsidR="00AE05DD" w:rsidRPr="002D70DA" w:rsidTr="00AE05DD">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E05DD" w:rsidRPr="003C2199" w:rsidRDefault="00AE05DD" w:rsidP="00AE05DD">
            <w:pPr>
              <w:rPr>
                <w:rFonts w:ascii="Arial" w:hAnsi="Arial" w:cs="Arial"/>
                <w:sz w:val="17"/>
                <w:szCs w:val="17"/>
              </w:rPr>
            </w:pPr>
            <w:r w:rsidRPr="003C2199">
              <w:rPr>
                <w:rFonts w:ascii="Arial" w:hAnsi="Arial" w:cs="Arial"/>
                <w:sz w:val="17"/>
                <w:szCs w:val="17"/>
              </w:rPr>
              <w:t>Anticipo a Contratistas por Obras Públicas a Corto Plazo</w:t>
            </w:r>
          </w:p>
        </w:tc>
        <w:tc>
          <w:tcPr>
            <w:tcW w:w="2180" w:type="dxa"/>
            <w:tcBorders>
              <w:top w:val="single" w:sz="4" w:space="0" w:color="auto"/>
              <w:left w:val="nil"/>
              <w:bottom w:val="single" w:sz="4" w:space="0" w:color="auto"/>
              <w:right w:val="single" w:sz="4" w:space="0" w:color="auto"/>
            </w:tcBorders>
            <w:shd w:val="clear" w:color="auto" w:fill="auto"/>
          </w:tcPr>
          <w:p w:rsidR="00AE05DD" w:rsidRPr="003C2199" w:rsidRDefault="00AE05DD" w:rsidP="00AE05DD">
            <w:pPr>
              <w:jc w:val="right"/>
              <w:rPr>
                <w:rFonts w:ascii="Arial" w:hAnsi="Arial" w:cs="Arial"/>
                <w:sz w:val="17"/>
                <w:szCs w:val="17"/>
              </w:rPr>
            </w:pPr>
            <w:r w:rsidRPr="00AE05DD">
              <w:rPr>
                <w:rFonts w:ascii="Arial" w:hAnsi="Arial" w:cs="Arial"/>
                <w:sz w:val="17"/>
                <w:szCs w:val="17"/>
              </w:rPr>
              <w:t xml:space="preserve">42,696,310 </w:t>
            </w:r>
            <w:r w:rsidRPr="003C2199">
              <w:rPr>
                <w:rFonts w:ascii="Arial" w:hAnsi="Arial" w:cs="Arial"/>
                <w:sz w:val="17"/>
                <w:szCs w:val="17"/>
              </w:rPr>
              <w:t xml:space="preserve"> </w:t>
            </w:r>
          </w:p>
        </w:tc>
        <w:tc>
          <w:tcPr>
            <w:tcW w:w="2180" w:type="dxa"/>
            <w:tcBorders>
              <w:top w:val="single" w:sz="4" w:space="0" w:color="auto"/>
              <w:left w:val="nil"/>
              <w:bottom w:val="single" w:sz="4" w:space="0" w:color="auto"/>
              <w:right w:val="single" w:sz="4" w:space="0" w:color="auto"/>
            </w:tcBorders>
            <w:shd w:val="clear" w:color="auto" w:fill="auto"/>
          </w:tcPr>
          <w:p w:rsidR="00AE05DD" w:rsidRPr="00AE05DD" w:rsidRDefault="00AE05DD" w:rsidP="00AE05DD">
            <w:pPr>
              <w:jc w:val="right"/>
              <w:rPr>
                <w:rFonts w:ascii="Arial" w:hAnsi="Arial" w:cs="Arial"/>
                <w:sz w:val="17"/>
                <w:szCs w:val="17"/>
              </w:rPr>
            </w:pPr>
            <w:r w:rsidRPr="00AE05DD">
              <w:rPr>
                <w:rFonts w:ascii="Arial" w:hAnsi="Arial" w:cs="Arial"/>
                <w:sz w:val="17"/>
                <w:szCs w:val="17"/>
              </w:rPr>
              <w:t xml:space="preserve"> 147,737,922 </w:t>
            </w:r>
          </w:p>
        </w:tc>
      </w:tr>
      <w:tr w:rsidR="00AE05DD" w:rsidRPr="007C1336" w:rsidTr="00AE05DD">
        <w:trPr>
          <w:trHeight w:val="240"/>
          <w:jc w:val="center"/>
        </w:trPr>
        <w:tc>
          <w:tcPr>
            <w:tcW w:w="4900" w:type="dxa"/>
            <w:tcBorders>
              <w:top w:val="nil"/>
              <w:left w:val="nil"/>
              <w:bottom w:val="nil"/>
              <w:right w:val="single" w:sz="4" w:space="0" w:color="auto"/>
            </w:tcBorders>
            <w:shd w:val="clear" w:color="000000" w:fill="FFFFFF"/>
            <w:vAlign w:val="center"/>
            <w:hideMark/>
          </w:tcPr>
          <w:p w:rsidR="00AE05DD" w:rsidRPr="003C2199" w:rsidRDefault="00AE05DD" w:rsidP="00AE05DD">
            <w:pPr>
              <w:rPr>
                <w:rFonts w:ascii="Arial" w:hAnsi="Arial" w:cs="Arial"/>
                <w:sz w:val="17"/>
                <w:szCs w:val="17"/>
              </w:rPr>
            </w:pPr>
            <w:r w:rsidRPr="003C2199">
              <w:rPr>
                <w:rFonts w:ascii="Arial" w:hAnsi="Arial" w:cs="Arial"/>
                <w:sz w:val="17"/>
                <w:szCs w:val="17"/>
              </w:rPr>
              <w:t>Total</w:t>
            </w:r>
          </w:p>
        </w:tc>
        <w:tc>
          <w:tcPr>
            <w:tcW w:w="2180" w:type="dxa"/>
            <w:tcBorders>
              <w:top w:val="single" w:sz="4" w:space="0" w:color="auto"/>
              <w:left w:val="single" w:sz="4" w:space="0" w:color="auto"/>
              <w:bottom w:val="single" w:sz="4" w:space="0" w:color="auto"/>
              <w:right w:val="nil"/>
            </w:tcBorders>
            <w:shd w:val="clear" w:color="000000" w:fill="FFFFFF"/>
          </w:tcPr>
          <w:p w:rsidR="00AE05DD" w:rsidRPr="003C2199" w:rsidRDefault="00AE05DD" w:rsidP="00AE05DD">
            <w:pPr>
              <w:jc w:val="right"/>
              <w:rPr>
                <w:rFonts w:ascii="Arial" w:hAnsi="Arial" w:cs="Arial"/>
                <w:b/>
                <w:sz w:val="17"/>
                <w:szCs w:val="17"/>
              </w:rPr>
            </w:pPr>
            <w:r w:rsidRPr="00AE05DD">
              <w:rPr>
                <w:rFonts w:ascii="Arial" w:hAnsi="Arial" w:cs="Arial"/>
                <w:b/>
                <w:sz w:val="17"/>
                <w:szCs w:val="17"/>
              </w:rPr>
              <w:t>47,057,041</w:t>
            </w:r>
          </w:p>
        </w:tc>
        <w:tc>
          <w:tcPr>
            <w:tcW w:w="2180" w:type="dxa"/>
            <w:tcBorders>
              <w:top w:val="nil"/>
              <w:left w:val="single" w:sz="4" w:space="0" w:color="auto"/>
              <w:bottom w:val="single" w:sz="4" w:space="0" w:color="auto"/>
              <w:right w:val="single" w:sz="4" w:space="0" w:color="auto"/>
            </w:tcBorders>
            <w:shd w:val="clear" w:color="000000" w:fill="FFFFFF"/>
          </w:tcPr>
          <w:p w:rsidR="00AE05DD" w:rsidRPr="00AE05DD" w:rsidRDefault="00AE05DD" w:rsidP="00AE05DD">
            <w:pPr>
              <w:jc w:val="right"/>
              <w:rPr>
                <w:rFonts w:ascii="Arial" w:hAnsi="Arial" w:cs="Arial"/>
                <w:b/>
                <w:sz w:val="17"/>
                <w:szCs w:val="17"/>
              </w:rPr>
            </w:pPr>
            <w:r w:rsidRPr="00AE05DD">
              <w:rPr>
                <w:rFonts w:ascii="Arial" w:hAnsi="Arial" w:cs="Arial"/>
                <w:b/>
                <w:sz w:val="17"/>
                <w:szCs w:val="17"/>
              </w:rPr>
              <w:t xml:space="preserve"> 147,898,631 </w:t>
            </w:r>
          </w:p>
        </w:tc>
      </w:tr>
    </w:tbl>
    <w:p w:rsidR="003F0877" w:rsidRDefault="003F0877" w:rsidP="003F0877">
      <w:pPr>
        <w:spacing w:before="80" w:line="250" w:lineRule="exact"/>
        <w:ind w:left="709"/>
        <w:jc w:val="both"/>
        <w:rPr>
          <w:rFonts w:ascii="Arial" w:eastAsia="Calibri" w:hAnsi="Arial" w:cs="Arial"/>
          <w:spacing w:val="-1"/>
          <w:sz w:val="17"/>
          <w:szCs w:val="17"/>
        </w:rPr>
      </w:pPr>
    </w:p>
    <w:p w:rsidR="00CE0DEE" w:rsidRDefault="00CE0DEE" w:rsidP="003F0877">
      <w:pPr>
        <w:spacing w:before="80" w:line="250" w:lineRule="exact"/>
        <w:ind w:left="709"/>
        <w:jc w:val="both"/>
        <w:rPr>
          <w:rFonts w:ascii="Arial" w:eastAsia="Calibri" w:hAnsi="Arial" w:cs="Arial"/>
          <w:spacing w:val="-1"/>
          <w:sz w:val="17"/>
          <w:szCs w:val="17"/>
        </w:rPr>
      </w:pPr>
      <w:r w:rsidRPr="00CE0DEE">
        <w:rPr>
          <w:rFonts w:ascii="Arial" w:eastAsia="Calibri" w:hAnsi="Arial" w:cs="Arial"/>
          <w:spacing w:val="-1"/>
          <w:sz w:val="17"/>
          <w:szCs w:val="17"/>
        </w:rPr>
        <w:t>E</w:t>
      </w:r>
      <w:r w:rsidR="00822A6D">
        <w:rPr>
          <w:rFonts w:ascii="Arial" w:eastAsia="Calibri" w:hAnsi="Arial" w:cs="Arial"/>
          <w:spacing w:val="-1"/>
          <w:sz w:val="17"/>
          <w:szCs w:val="17"/>
        </w:rPr>
        <w:t>l de</w:t>
      </w:r>
      <w:r w:rsidRPr="00CE0DEE">
        <w:rPr>
          <w:rFonts w:ascii="Arial" w:eastAsia="Calibri" w:hAnsi="Arial" w:cs="Arial"/>
          <w:spacing w:val="-1"/>
          <w:sz w:val="17"/>
          <w:szCs w:val="17"/>
        </w:rPr>
        <w:t xml:space="preserve">cremento obedece </w:t>
      </w:r>
      <w:r w:rsidR="00822A6D">
        <w:rPr>
          <w:rFonts w:ascii="Arial" w:eastAsia="Calibri" w:hAnsi="Arial" w:cs="Arial"/>
          <w:spacing w:val="-1"/>
          <w:sz w:val="17"/>
          <w:szCs w:val="17"/>
        </w:rPr>
        <w:t xml:space="preserve">principalmente </w:t>
      </w:r>
      <w:r w:rsidRPr="00CE0DEE">
        <w:rPr>
          <w:rFonts w:ascii="Arial" w:eastAsia="Calibri" w:hAnsi="Arial" w:cs="Arial"/>
          <w:spacing w:val="-1"/>
          <w:sz w:val="17"/>
          <w:szCs w:val="17"/>
        </w:rPr>
        <w:t xml:space="preserve">a la </w:t>
      </w:r>
      <w:r w:rsidR="00822A6D">
        <w:rPr>
          <w:rFonts w:ascii="Arial" w:eastAsia="Calibri" w:hAnsi="Arial" w:cs="Arial"/>
          <w:spacing w:val="-1"/>
          <w:sz w:val="17"/>
          <w:szCs w:val="17"/>
        </w:rPr>
        <w:t>amortiz</w:t>
      </w:r>
      <w:r w:rsidRPr="00CE0DEE">
        <w:rPr>
          <w:rFonts w:ascii="Arial" w:eastAsia="Calibri" w:hAnsi="Arial" w:cs="Arial"/>
          <w:spacing w:val="-1"/>
          <w:sz w:val="17"/>
          <w:szCs w:val="17"/>
        </w:rPr>
        <w:t xml:space="preserve">ación de </w:t>
      </w:r>
      <w:r w:rsidR="00822A6D">
        <w:rPr>
          <w:rFonts w:ascii="Arial" w:eastAsia="Calibri" w:hAnsi="Arial" w:cs="Arial"/>
          <w:spacing w:val="-1"/>
          <w:sz w:val="17"/>
          <w:szCs w:val="17"/>
        </w:rPr>
        <w:t xml:space="preserve">Anticipos a Contratistas por Obras Públicas a Corto Plazo </w:t>
      </w:r>
      <w:r>
        <w:rPr>
          <w:rFonts w:ascii="Arial" w:eastAsia="Calibri" w:hAnsi="Arial" w:cs="Arial"/>
          <w:spacing w:val="-1"/>
          <w:sz w:val="17"/>
          <w:szCs w:val="17"/>
        </w:rPr>
        <w:t>por parte del Poder Ejecutivo.</w:t>
      </w:r>
    </w:p>
    <w:p w:rsidR="00BD4604" w:rsidRDefault="00BD4604">
      <w:pPr>
        <w:rPr>
          <w:rFonts w:ascii="Arial" w:eastAsia="Calibri" w:hAnsi="Arial" w:cs="Arial"/>
          <w:spacing w:val="-1"/>
          <w:sz w:val="17"/>
          <w:szCs w:val="17"/>
        </w:rPr>
      </w:pPr>
      <w:r>
        <w:rPr>
          <w:rFonts w:ascii="Arial" w:eastAsia="Calibri" w:hAnsi="Arial" w:cs="Arial"/>
          <w:spacing w:val="-1"/>
          <w:sz w:val="17"/>
          <w:szCs w:val="17"/>
        </w:rPr>
        <w:br w:type="page"/>
      </w:r>
    </w:p>
    <w:p w:rsidR="003F0877" w:rsidRDefault="003F0877" w:rsidP="003F0877">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lastRenderedPageBreak/>
        <w:t>La cual está distribuido de la siguiente manera:</w:t>
      </w:r>
    </w:p>
    <w:p w:rsidR="003F0877" w:rsidRPr="002D70DA" w:rsidRDefault="003F0877" w:rsidP="003F0877">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822A6D" w:rsidRPr="002D70DA" w:rsidTr="00A53D3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22A6D" w:rsidRPr="002D70DA" w:rsidRDefault="00822A6D" w:rsidP="000B503E">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822A6D" w:rsidRPr="002D70DA" w:rsidRDefault="00FD7D84" w:rsidP="000B503E">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822A6D" w:rsidRPr="002D70DA" w:rsidRDefault="00FD7D84" w:rsidP="000B503E">
            <w:pPr>
              <w:jc w:val="center"/>
              <w:rPr>
                <w:rFonts w:ascii="Arial" w:hAnsi="Arial" w:cs="Arial"/>
                <w:b/>
                <w:bCs/>
                <w:color w:val="000000"/>
                <w:sz w:val="17"/>
                <w:szCs w:val="17"/>
              </w:rPr>
            </w:pPr>
            <w:r>
              <w:rPr>
                <w:rFonts w:ascii="Arial" w:hAnsi="Arial" w:cs="Arial"/>
                <w:b/>
                <w:bCs/>
                <w:color w:val="000000"/>
                <w:sz w:val="17"/>
                <w:szCs w:val="17"/>
              </w:rPr>
              <w:t>2019</w:t>
            </w:r>
          </w:p>
        </w:tc>
      </w:tr>
      <w:tr w:rsidR="00A53D3B" w:rsidRPr="002D70DA" w:rsidTr="00A53D3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53D3B" w:rsidRPr="00C34218" w:rsidRDefault="00A53D3B" w:rsidP="00A53D3B">
            <w:pPr>
              <w:rPr>
                <w:rFonts w:ascii="Arial" w:hAnsi="Arial" w:cs="Arial"/>
                <w:b/>
                <w:sz w:val="17"/>
                <w:szCs w:val="17"/>
              </w:rPr>
            </w:pPr>
            <w:r w:rsidRPr="00C34218">
              <w:rPr>
                <w:rFonts w:ascii="Arial" w:hAnsi="Arial" w:cs="Arial"/>
                <w:b/>
                <w:sz w:val="17"/>
                <w:szCs w:val="17"/>
              </w:rPr>
              <w:t>Poder Ejecutivo</w:t>
            </w:r>
          </w:p>
        </w:tc>
        <w:tc>
          <w:tcPr>
            <w:tcW w:w="2180" w:type="dxa"/>
            <w:tcBorders>
              <w:top w:val="single" w:sz="4" w:space="0" w:color="auto"/>
              <w:left w:val="nil"/>
              <w:bottom w:val="single" w:sz="4" w:space="0" w:color="auto"/>
              <w:right w:val="single" w:sz="4" w:space="0" w:color="auto"/>
            </w:tcBorders>
            <w:shd w:val="clear" w:color="auto" w:fill="auto"/>
          </w:tcPr>
          <w:p w:rsidR="00A53D3B" w:rsidRPr="0085799D" w:rsidRDefault="00A53D3B" w:rsidP="00A53D3B">
            <w:pPr>
              <w:jc w:val="right"/>
              <w:rPr>
                <w:rFonts w:ascii="Arial" w:hAnsi="Arial" w:cs="Arial"/>
                <w:b/>
                <w:sz w:val="17"/>
                <w:szCs w:val="17"/>
              </w:rPr>
            </w:pPr>
            <w:r w:rsidRPr="00A53D3B">
              <w:rPr>
                <w:rFonts w:ascii="Arial" w:hAnsi="Arial" w:cs="Arial"/>
                <w:b/>
                <w:sz w:val="17"/>
                <w:szCs w:val="17"/>
              </w:rPr>
              <w:t>42,696,310</w:t>
            </w:r>
          </w:p>
        </w:tc>
        <w:tc>
          <w:tcPr>
            <w:tcW w:w="2180" w:type="dxa"/>
            <w:tcBorders>
              <w:top w:val="single" w:sz="4" w:space="0" w:color="auto"/>
              <w:left w:val="nil"/>
              <w:bottom w:val="single" w:sz="4" w:space="0" w:color="auto"/>
              <w:right w:val="single" w:sz="4" w:space="0" w:color="auto"/>
            </w:tcBorders>
            <w:shd w:val="clear" w:color="auto" w:fill="auto"/>
          </w:tcPr>
          <w:p w:rsidR="00A53D3B" w:rsidRPr="00A53D3B" w:rsidRDefault="00A53D3B" w:rsidP="00A53D3B">
            <w:pPr>
              <w:jc w:val="right"/>
              <w:rPr>
                <w:rFonts w:ascii="Arial" w:hAnsi="Arial" w:cs="Arial"/>
                <w:b/>
                <w:sz w:val="17"/>
                <w:szCs w:val="17"/>
              </w:rPr>
            </w:pPr>
            <w:r w:rsidRPr="00A53D3B">
              <w:rPr>
                <w:rFonts w:ascii="Arial" w:hAnsi="Arial" w:cs="Arial"/>
                <w:b/>
                <w:sz w:val="17"/>
                <w:szCs w:val="17"/>
              </w:rPr>
              <w:t xml:space="preserve">147,737,922 </w:t>
            </w:r>
          </w:p>
        </w:tc>
      </w:tr>
      <w:tr w:rsidR="00A53D3B" w:rsidRPr="002D70DA" w:rsidTr="00A53D3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53D3B" w:rsidRPr="00C34218" w:rsidRDefault="00A53D3B" w:rsidP="00A53D3B">
            <w:pPr>
              <w:rPr>
                <w:rFonts w:ascii="Arial" w:hAnsi="Arial" w:cs="Arial"/>
                <w:b/>
                <w:sz w:val="17"/>
                <w:szCs w:val="17"/>
              </w:rPr>
            </w:pPr>
            <w:r w:rsidRPr="00C34218">
              <w:rPr>
                <w:rFonts w:ascii="Arial" w:hAnsi="Arial" w:cs="Arial"/>
                <w:b/>
                <w:sz w:val="17"/>
                <w:szCs w:val="17"/>
              </w:rPr>
              <w:t>Órganos Autónomos</w:t>
            </w:r>
          </w:p>
        </w:tc>
        <w:tc>
          <w:tcPr>
            <w:tcW w:w="2180" w:type="dxa"/>
            <w:tcBorders>
              <w:top w:val="single" w:sz="4" w:space="0" w:color="auto"/>
              <w:left w:val="nil"/>
              <w:bottom w:val="single" w:sz="4" w:space="0" w:color="auto"/>
              <w:right w:val="single" w:sz="4" w:space="0" w:color="auto"/>
            </w:tcBorders>
            <w:shd w:val="clear" w:color="auto" w:fill="auto"/>
          </w:tcPr>
          <w:p w:rsidR="00A53D3B" w:rsidRPr="0085799D" w:rsidRDefault="00A53D3B" w:rsidP="00A53D3B">
            <w:pPr>
              <w:jc w:val="right"/>
              <w:rPr>
                <w:rFonts w:ascii="Arial" w:hAnsi="Arial" w:cs="Arial"/>
                <w:b/>
                <w:sz w:val="17"/>
                <w:szCs w:val="17"/>
              </w:rPr>
            </w:pPr>
            <w:r w:rsidRPr="00A53D3B">
              <w:rPr>
                <w:rFonts w:ascii="Arial" w:hAnsi="Arial" w:cs="Arial"/>
                <w:b/>
                <w:sz w:val="17"/>
                <w:szCs w:val="17"/>
              </w:rPr>
              <w:t>4,360,731</w:t>
            </w:r>
          </w:p>
        </w:tc>
        <w:tc>
          <w:tcPr>
            <w:tcW w:w="2180" w:type="dxa"/>
            <w:tcBorders>
              <w:top w:val="single" w:sz="4" w:space="0" w:color="auto"/>
              <w:left w:val="nil"/>
              <w:bottom w:val="single" w:sz="4" w:space="0" w:color="auto"/>
              <w:right w:val="single" w:sz="4" w:space="0" w:color="auto"/>
            </w:tcBorders>
            <w:shd w:val="clear" w:color="auto" w:fill="auto"/>
          </w:tcPr>
          <w:p w:rsidR="00A53D3B" w:rsidRPr="00A53D3B" w:rsidRDefault="00A53D3B" w:rsidP="00A53D3B">
            <w:pPr>
              <w:jc w:val="right"/>
              <w:rPr>
                <w:rFonts w:ascii="Arial" w:hAnsi="Arial" w:cs="Arial"/>
                <w:b/>
                <w:sz w:val="17"/>
                <w:szCs w:val="17"/>
              </w:rPr>
            </w:pPr>
            <w:r w:rsidRPr="00A53D3B">
              <w:rPr>
                <w:rFonts w:ascii="Arial" w:hAnsi="Arial" w:cs="Arial"/>
                <w:b/>
                <w:sz w:val="17"/>
                <w:szCs w:val="17"/>
              </w:rPr>
              <w:t xml:space="preserve">160,709 </w:t>
            </w:r>
          </w:p>
        </w:tc>
      </w:tr>
      <w:tr w:rsidR="00A53D3B" w:rsidRPr="002D70DA" w:rsidTr="00A53D3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53D3B" w:rsidRPr="00560A6D" w:rsidRDefault="00A53D3B" w:rsidP="00A53D3B">
            <w:pPr>
              <w:ind w:left="497"/>
              <w:rPr>
                <w:rFonts w:ascii="Arial" w:hAnsi="Arial" w:cs="Arial"/>
                <w:sz w:val="17"/>
                <w:szCs w:val="17"/>
              </w:rPr>
            </w:pPr>
            <w:r w:rsidRPr="00C34218">
              <w:rPr>
                <w:rFonts w:ascii="Arial" w:hAnsi="Arial" w:cs="Arial"/>
                <w:sz w:val="17"/>
                <w:szCs w:val="17"/>
              </w:rPr>
              <w:t>Defensoría de los Derechos Humanos de Querétaro</w:t>
            </w:r>
          </w:p>
        </w:tc>
        <w:tc>
          <w:tcPr>
            <w:tcW w:w="2180" w:type="dxa"/>
            <w:tcBorders>
              <w:top w:val="single" w:sz="4" w:space="0" w:color="auto"/>
              <w:left w:val="nil"/>
              <w:bottom w:val="single" w:sz="4" w:space="0" w:color="auto"/>
              <w:right w:val="single" w:sz="4" w:space="0" w:color="auto"/>
            </w:tcBorders>
            <w:shd w:val="clear" w:color="auto" w:fill="auto"/>
          </w:tcPr>
          <w:p w:rsidR="00A53D3B" w:rsidRPr="00A53D3B" w:rsidRDefault="00A53D3B" w:rsidP="00A53D3B">
            <w:pPr>
              <w:jc w:val="right"/>
              <w:rPr>
                <w:rFonts w:ascii="Arial" w:hAnsi="Arial" w:cs="Arial"/>
                <w:sz w:val="17"/>
                <w:szCs w:val="17"/>
              </w:rPr>
            </w:pPr>
            <w:r w:rsidRPr="00A53D3B">
              <w:rPr>
                <w:rFonts w:ascii="Arial" w:hAnsi="Arial" w:cs="Arial"/>
                <w:sz w:val="17"/>
                <w:szCs w:val="17"/>
              </w:rPr>
              <w:t xml:space="preserve">1,251 </w:t>
            </w:r>
          </w:p>
        </w:tc>
        <w:tc>
          <w:tcPr>
            <w:tcW w:w="2180" w:type="dxa"/>
            <w:tcBorders>
              <w:top w:val="single" w:sz="4" w:space="0" w:color="auto"/>
              <w:left w:val="nil"/>
              <w:bottom w:val="single" w:sz="4" w:space="0" w:color="auto"/>
              <w:right w:val="single" w:sz="4" w:space="0" w:color="auto"/>
            </w:tcBorders>
            <w:shd w:val="clear" w:color="auto" w:fill="auto"/>
          </w:tcPr>
          <w:p w:rsidR="00A53D3B" w:rsidRPr="00A53D3B" w:rsidRDefault="00A53D3B" w:rsidP="00A53D3B">
            <w:pPr>
              <w:jc w:val="right"/>
              <w:rPr>
                <w:rFonts w:ascii="Arial" w:hAnsi="Arial" w:cs="Arial"/>
                <w:sz w:val="17"/>
                <w:szCs w:val="17"/>
              </w:rPr>
            </w:pPr>
            <w:r w:rsidRPr="00A53D3B">
              <w:rPr>
                <w:rFonts w:ascii="Arial" w:hAnsi="Arial" w:cs="Arial"/>
                <w:sz w:val="17"/>
                <w:szCs w:val="17"/>
              </w:rPr>
              <w:t xml:space="preserve">2,052 </w:t>
            </w:r>
          </w:p>
        </w:tc>
      </w:tr>
      <w:tr w:rsidR="00A53D3B" w:rsidRPr="002D70DA" w:rsidTr="00A53D3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53D3B" w:rsidRPr="00C34218" w:rsidRDefault="00A53D3B" w:rsidP="00A53D3B">
            <w:pPr>
              <w:ind w:left="497"/>
              <w:rPr>
                <w:rFonts w:ascii="Arial" w:hAnsi="Arial" w:cs="Arial"/>
                <w:sz w:val="17"/>
                <w:szCs w:val="17"/>
              </w:rPr>
            </w:pPr>
            <w:r w:rsidRPr="00C34218">
              <w:rPr>
                <w:rFonts w:ascii="Arial" w:hAnsi="Arial" w:cs="Arial"/>
                <w:sz w:val="17"/>
                <w:szCs w:val="17"/>
              </w:rPr>
              <w:t>Entidad Superior de Fiscalización del Estado de</w:t>
            </w:r>
          </w:p>
          <w:p w:rsidR="00A53D3B" w:rsidRPr="00C34218" w:rsidRDefault="00A53D3B" w:rsidP="00A53D3B">
            <w:pPr>
              <w:ind w:left="497"/>
              <w:rPr>
                <w:rFonts w:ascii="Arial" w:hAnsi="Arial" w:cs="Arial"/>
                <w:sz w:val="17"/>
                <w:szCs w:val="17"/>
              </w:rPr>
            </w:pPr>
            <w:r w:rsidRPr="00C34218">
              <w:rPr>
                <w:rFonts w:ascii="Arial" w:hAnsi="Arial" w:cs="Arial"/>
                <w:sz w:val="17"/>
                <w:szCs w:val="17"/>
              </w:rPr>
              <w:t>Querétaro</w:t>
            </w:r>
          </w:p>
        </w:tc>
        <w:tc>
          <w:tcPr>
            <w:tcW w:w="2180" w:type="dxa"/>
            <w:tcBorders>
              <w:top w:val="single" w:sz="4" w:space="0" w:color="auto"/>
              <w:left w:val="nil"/>
              <w:bottom w:val="single" w:sz="4" w:space="0" w:color="auto"/>
              <w:right w:val="single" w:sz="4" w:space="0" w:color="auto"/>
            </w:tcBorders>
            <w:shd w:val="clear" w:color="auto" w:fill="auto"/>
          </w:tcPr>
          <w:p w:rsidR="00A53D3B" w:rsidRPr="00A53D3B" w:rsidRDefault="00A53D3B" w:rsidP="00A53D3B">
            <w:pPr>
              <w:jc w:val="right"/>
              <w:rPr>
                <w:rFonts w:ascii="Arial" w:hAnsi="Arial" w:cs="Arial"/>
                <w:sz w:val="17"/>
                <w:szCs w:val="17"/>
              </w:rPr>
            </w:pPr>
            <w:r w:rsidRPr="00A53D3B">
              <w:rPr>
                <w:rFonts w:ascii="Arial" w:hAnsi="Arial" w:cs="Arial"/>
                <w:sz w:val="17"/>
                <w:szCs w:val="17"/>
              </w:rPr>
              <w:t xml:space="preserve">116,306 </w:t>
            </w:r>
          </w:p>
        </w:tc>
        <w:tc>
          <w:tcPr>
            <w:tcW w:w="2180" w:type="dxa"/>
            <w:tcBorders>
              <w:top w:val="single" w:sz="4" w:space="0" w:color="auto"/>
              <w:left w:val="nil"/>
              <w:bottom w:val="single" w:sz="4" w:space="0" w:color="auto"/>
              <w:right w:val="single" w:sz="4" w:space="0" w:color="auto"/>
            </w:tcBorders>
            <w:shd w:val="clear" w:color="auto" w:fill="auto"/>
          </w:tcPr>
          <w:p w:rsidR="00A53D3B" w:rsidRPr="00A53D3B" w:rsidRDefault="00A53D3B" w:rsidP="00A53D3B">
            <w:pPr>
              <w:jc w:val="right"/>
              <w:rPr>
                <w:rFonts w:ascii="Arial" w:hAnsi="Arial" w:cs="Arial"/>
                <w:sz w:val="17"/>
                <w:szCs w:val="17"/>
              </w:rPr>
            </w:pPr>
            <w:r w:rsidRPr="00A53D3B">
              <w:rPr>
                <w:rFonts w:ascii="Arial" w:hAnsi="Arial" w:cs="Arial"/>
                <w:sz w:val="17"/>
                <w:szCs w:val="17"/>
              </w:rPr>
              <w:t xml:space="preserve">137,861 </w:t>
            </w:r>
          </w:p>
        </w:tc>
      </w:tr>
      <w:tr w:rsidR="00A53D3B" w:rsidRPr="002D70DA" w:rsidTr="00A53D3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53D3B" w:rsidRPr="00C34218" w:rsidRDefault="00A53D3B" w:rsidP="00A53D3B">
            <w:pPr>
              <w:ind w:left="497"/>
              <w:rPr>
                <w:rFonts w:ascii="Arial" w:hAnsi="Arial" w:cs="Arial"/>
                <w:sz w:val="17"/>
                <w:szCs w:val="17"/>
              </w:rPr>
            </w:pPr>
            <w:r w:rsidRPr="00C34218">
              <w:rPr>
                <w:rFonts w:ascii="Arial" w:hAnsi="Arial" w:cs="Arial"/>
                <w:sz w:val="17"/>
                <w:szCs w:val="17"/>
              </w:rPr>
              <w:t>Fiscalía General del Estado</w:t>
            </w:r>
          </w:p>
        </w:tc>
        <w:tc>
          <w:tcPr>
            <w:tcW w:w="2180" w:type="dxa"/>
            <w:tcBorders>
              <w:top w:val="single" w:sz="4" w:space="0" w:color="auto"/>
              <w:left w:val="nil"/>
              <w:bottom w:val="single" w:sz="4" w:space="0" w:color="auto"/>
              <w:right w:val="single" w:sz="4" w:space="0" w:color="auto"/>
            </w:tcBorders>
            <w:shd w:val="clear" w:color="auto" w:fill="auto"/>
          </w:tcPr>
          <w:p w:rsidR="00A53D3B" w:rsidRPr="00A53D3B" w:rsidRDefault="00A53D3B" w:rsidP="00A53D3B">
            <w:pPr>
              <w:jc w:val="right"/>
              <w:rPr>
                <w:rFonts w:ascii="Arial" w:hAnsi="Arial" w:cs="Arial"/>
                <w:sz w:val="17"/>
                <w:szCs w:val="17"/>
              </w:rPr>
            </w:pPr>
            <w:r w:rsidRPr="00A53D3B">
              <w:rPr>
                <w:rFonts w:ascii="Arial" w:hAnsi="Arial" w:cs="Arial"/>
                <w:sz w:val="17"/>
                <w:szCs w:val="17"/>
              </w:rPr>
              <w:t xml:space="preserve">4,243,173 </w:t>
            </w:r>
          </w:p>
        </w:tc>
        <w:tc>
          <w:tcPr>
            <w:tcW w:w="2180" w:type="dxa"/>
            <w:tcBorders>
              <w:top w:val="single" w:sz="4" w:space="0" w:color="auto"/>
              <w:left w:val="nil"/>
              <w:bottom w:val="single" w:sz="4" w:space="0" w:color="auto"/>
              <w:right w:val="single" w:sz="4" w:space="0" w:color="auto"/>
            </w:tcBorders>
            <w:shd w:val="clear" w:color="auto" w:fill="auto"/>
          </w:tcPr>
          <w:p w:rsidR="00A53D3B" w:rsidRPr="00A53D3B" w:rsidRDefault="00A53D3B" w:rsidP="00A53D3B">
            <w:pPr>
              <w:jc w:val="right"/>
              <w:rPr>
                <w:rFonts w:ascii="Arial" w:hAnsi="Arial" w:cs="Arial"/>
                <w:sz w:val="17"/>
                <w:szCs w:val="17"/>
              </w:rPr>
            </w:pPr>
            <w:r w:rsidRPr="00A53D3B">
              <w:rPr>
                <w:rFonts w:ascii="Arial" w:hAnsi="Arial" w:cs="Arial"/>
                <w:sz w:val="17"/>
                <w:szCs w:val="17"/>
              </w:rPr>
              <w:t xml:space="preserve">17,400 </w:t>
            </w:r>
          </w:p>
        </w:tc>
      </w:tr>
      <w:tr w:rsidR="00A53D3B" w:rsidRPr="002D70DA" w:rsidTr="00A53D3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53D3B" w:rsidRPr="00C34218" w:rsidRDefault="00A53D3B" w:rsidP="00A53D3B">
            <w:pPr>
              <w:ind w:left="497"/>
              <w:rPr>
                <w:rFonts w:ascii="Arial" w:hAnsi="Arial" w:cs="Arial"/>
                <w:sz w:val="17"/>
                <w:szCs w:val="17"/>
              </w:rPr>
            </w:pPr>
            <w:r w:rsidRPr="00C34218">
              <w:rPr>
                <w:rFonts w:ascii="Arial" w:hAnsi="Arial" w:cs="Arial"/>
                <w:sz w:val="17"/>
                <w:szCs w:val="17"/>
              </w:rPr>
              <w:t>Tribunal de Conciliación y Arbitraje</w:t>
            </w:r>
          </w:p>
        </w:tc>
        <w:tc>
          <w:tcPr>
            <w:tcW w:w="2180" w:type="dxa"/>
            <w:tcBorders>
              <w:top w:val="single" w:sz="4" w:space="0" w:color="auto"/>
              <w:left w:val="nil"/>
              <w:bottom w:val="single" w:sz="4" w:space="0" w:color="auto"/>
              <w:right w:val="single" w:sz="4" w:space="0" w:color="auto"/>
            </w:tcBorders>
            <w:shd w:val="clear" w:color="auto" w:fill="auto"/>
          </w:tcPr>
          <w:p w:rsidR="00A53D3B" w:rsidRPr="00822A6D" w:rsidRDefault="00A53D3B" w:rsidP="00A53D3B">
            <w:pPr>
              <w:jc w:val="right"/>
              <w:rPr>
                <w:rFonts w:ascii="Arial" w:hAnsi="Arial" w:cs="Arial"/>
                <w:sz w:val="17"/>
                <w:szCs w:val="17"/>
              </w:rPr>
            </w:pPr>
            <w:r>
              <w:rPr>
                <w:rFonts w:ascii="Arial" w:hAnsi="Arial" w:cs="Arial"/>
                <w:sz w:val="17"/>
                <w:szCs w:val="17"/>
              </w:rPr>
              <w:t>0</w:t>
            </w:r>
            <w:r w:rsidRPr="00822A6D">
              <w:rPr>
                <w:rFonts w:ascii="Arial" w:hAnsi="Arial" w:cs="Arial"/>
                <w:sz w:val="17"/>
                <w:szCs w:val="17"/>
              </w:rPr>
              <w:t xml:space="preserve"> </w:t>
            </w:r>
          </w:p>
        </w:tc>
        <w:tc>
          <w:tcPr>
            <w:tcW w:w="2180" w:type="dxa"/>
            <w:tcBorders>
              <w:top w:val="single" w:sz="4" w:space="0" w:color="auto"/>
              <w:left w:val="nil"/>
              <w:bottom w:val="single" w:sz="4" w:space="0" w:color="auto"/>
              <w:right w:val="single" w:sz="4" w:space="0" w:color="auto"/>
            </w:tcBorders>
            <w:shd w:val="clear" w:color="auto" w:fill="auto"/>
          </w:tcPr>
          <w:p w:rsidR="00A53D3B" w:rsidRPr="00A53D3B" w:rsidRDefault="00A53D3B" w:rsidP="00A53D3B">
            <w:pPr>
              <w:jc w:val="right"/>
              <w:rPr>
                <w:rFonts w:ascii="Arial" w:hAnsi="Arial" w:cs="Arial"/>
                <w:sz w:val="17"/>
                <w:szCs w:val="17"/>
              </w:rPr>
            </w:pPr>
            <w:r w:rsidRPr="00A53D3B">
              <w:rPr>
                <w:rFonts w:ascii="Arial" w:hAnsi="Arial" w:cs="Arial"/>
                <w:sz w:val="17"/>
                <w:szCs w:val="17"/>
              </w:rPr>
              <w:t>3,396</w:t>
            </w:r>
          </w:p>
        </w:tc>
      </w:tr>
      <w:tr w:rsidR="00A53D3B" w:rsidRPr="002D70DA" w:rsidTr="00A53D3B">
        <w:trPr>
          <w:trHeight w:val="240"/>
          <w:jc w:val="center"/>
        </w:trPr>
        <w:tc>
          <w:tcPr>
            <w:tcW w:w="4900" w:type="dxa"/>
            <w:tcBorders>
              <w:top w:val="nil"/>
              <w:left w:val="nil"/>
              <w:bottom w:val="nil"/>
              <w:right w:val="single" w:sz="4" w:space="0" w:color="auto"/>
            </w:tcBorders>
            <w:shd w:val="clear" w:color="000000" w:fill="FFFFFF"/>
            <w:vAlign w:val="center"/>
            <w:hideMark/>
          </w:tcPr>
          <w:p w:rsidR="00A53D3B" w:rsidRPr="002D70DA" w:rsidRDefault="00A53D3B" w:rsidP="00A53D3B">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A53D3B" w:rsidRPr="00822A6D" w:rsidRDefault="00A53D3B" w:rsidP="00A53D3B">
            <w:pPr>
              <w:jc w:val="right"/>
              <w:rPr>
                <w:rFonts w:ascii="Arial" w:hAnsi="Arial" w:cs="Arial"/>
                <w:b/>
                <w:sz w:val="17"/>
                <w:szCs w:val="17"/>
              </w:rPr>
            </w:pPr>
            <w:r w:rsidRPr="00A53D3B">
              <w:rPr>
                <w:rFonts w:ascii="Arial" w:hAnsi="Arial" w:cs="Arial"/>
                <w:b/>
                <w:sz w:val="17"/>
                <w:szCs w:val="17"/>
              </w:rPr>
              <w:t>47,057,041</w:t>
            </w:r>
          </w:p>
        </w:tc>
        <w:tc>
          <w:tcPr>
            <w:tcW w:w="2180" w:type="dxa"/>
            <w:tcBorders>
              <w:top w:val="nil"/>
              <w:left w:val="single" w:sz="4" w:space="0" w:color="auto"/>
              <w:bottom w:val="single" w:sz="4" w:space="0" w:color="auto"/>
              <w:right w:val="single" w:sz="4" w:space="0" w:color="auto"/>
            </w:tcBorders>
            <w:shd w:val="clear" w:color="000000" w:fill="FFFFFF"/>
          </w:tcPr>
          <w:p w:rsidR="00A53D3B" w:rsidRPr="00A53D3B" w:rsidRDefault="00A53D3B" w:rsidP="00A53D3B">
            <w:pPr>
              <w:jc w:val="right"/>
              <w:rPr>
                <w:rFonts w:ascii="Arial" w:hAnsi="Arial" w:cs="Arial"/>
                <w:b/>
                <w:sz w:val="17"/>
                <w:szCs w:val="17"/>
              </w:rPr>
            </w:pPr>
            <w:r w:rsidRPr="00A53D3B">
              <w:rPr>
                <w:rFonts w:ascii="Arial" w:hAnsi="Arial" w:cs="Arial"/>
                <w:b/>
                <w:sz w:val="17"/>
                <w:szCs w:val="17"/>
              </w:rPr>
              <w:t xml:space="preserve">147,898,631 </w:t>
            </w:r>
          </w:p>
        </w:tc>
      </w:tr>
    </w:tbl>
    <w:p w:rsidR="003F0877" w:rsidRDefault="003F0877" w:rsidP="003F0877">
      <w:pPr>
        <w:spacing w:before="80" w:line="250" w:lineRule="exact"/>
        <w:ind w:left="360"/>
        <w:jc w:val="both"/>
        <w:rPr>
          <w:rFonts w:ascii="Arial" w:eastAsia="Calibri" w:hAnsi="Arial" w:cs="Arial"/>
          <w:b/>
          <w:spacing w:val="-1"/>
          <w:sz w:val="17"/>
          <w:szCs w:val="17"/>
        </w:rPr>
      </w:pPr>
    </w:p>
    <w:p w:rsidR="003F0877" w:rsidRDefault="003F0877" w:rsidP="00454AB9">
      <w:pPr>
        <w:spacing w:before="80" w:line="250" w:lineRule="exact"/>
        <w:ind w:left="709"/>
        <w:jc w:val="both"/>
        <w:rPr>
          <w:rFonts w:ascii="Arial" w:eastAsia="Calibri" w:hAnsi="Arial" w:cs="Arial"/>
          <w:spacing w:val="-1"/>
          <w:sz w:val="17"/>
          <w:szCs w:val="17"/>
        </w:rPr>
      </w:pPr>
    </w:p>
    <w:p w:rsidR="00000A24" w:rsidRPr="002D70DA" w:rsidRDefault="009D4BD1" w:rsidP="00000A24">
      <w:pPr>
        <w:pStyle w:val="Prrafodelista"/>
        <w:numPr>
          <w:ilvl w:val="0"/>
          <w:numId w:val="8"/>
        </w:numPr>
        <w:spacing w:before="80" w:line="250" w:lineRule="exact"/>
        <w:contextualSpacing w:val="0"/>
        <w:jc w:val="both"/>
        <w:rPr>
          <w:rFonts w:ascii="Arial" w:eastAsia="Calibri" w:hAnsi="Arial" w:cs="Arial"/>
          <w:b/>
          <w:spacing w:val="-1"/>
          <w:sz w:val="17"/>
          <w:szCs w:val="17"/>
        </w:rPr>
      </w:pPr>
      <w:r>
        <w:rPr>
          <w:rFonts w:ascii="Arial" w:eastAsia="Calibri" w:hAnsi="Arial" w:cs="Arial"/>
          <w:b/>
          <w:spacing w:val="-1"/>
          <w:sz w:val="17"/>
          <w:szCs w:val="17"/>
        </w:rPr>
        <w:t xml:space="preserve">Otros Activos </w:t>
      </w:r>
      <w:r w:rsidR="00000A24" w:rsidRPr="00000A24">
        <w:rPr>
          <w:rFonts w:ascii="Arial" w:eastAsia="Calibri" w:hAnsi="Arial" w:cs="Arial"/>
          <w:b/>
          <w:spacing w:val="-1"/>
          <w:sz w:val="17"/>
          <w:szCs w:val="17"/>
        </w:rPr>
        <w:t>Circulantes</w:t>
      </w:r>
      <w:r w:rsidR="00000A24" w:rsidRPr="002D70DA">
        <w:rPr>
          <w:rFonts w:ascii="Arial" w:eastAsia="Calibri" w:hAnsi="Arial" w:cs="Arial"/>
          <w:b/>
          <w:spacing w:val="-1"/>
          <w:sz w:val="17"/>
          <w:szCs w:val="17"/>
        </w:rPr>
        <w:t>:</w:t>
      </w:r>
    </w:p>
    <w:p w:rsidR="00000A24" w:rsidRDefault="00000A24" w:rsidP="00000A24">
      <w:pPr>
        <w:spacing w:before="80" w:line="250" w:lineRule="exact"/>
        <w:ind w:left="709"/>
        <w:jc w:val="both"/>
        <w:rPr>
          <w:rFonts w:ascii="Arial" w:eastAsia="Calibri" w:hAnsi="Arial" w:cs="Arial"/>
          <w:spacing w:val="-1"/>
          <w:sz w:val="17"/>
          <w:szCs w:val="17"/>
        </w:rPr>
      </w:pPr>
      <w:r w:rsidRPr="00B467A0">
        <w:rPr>
          <w:rFonts w:ascii="Arial" w:eastAsia="Calibri" w:hAnsi="Arial" w:cs="Arial"/>
          <w:spacing w:val="-1"/>
          <w:sz w:val="17"/>
          <w:szCs w:val="17"/>
        </w:rPr>
        <w:t xml:space="preserve">En lo que respecta al rubro </w:t>
      </w:r>
      <w:r>
        <w:rPr>
          <w:rFonts w:ascii="Arial" w:eastAsia="Calibri" w:hAnsi="Arial" w:cs="Arial"/>
          <w:spacing w:val="-1"/>
          <w:sz w:val="17"/>
          <w:szCs w:val="17"/>
        </w:rPr>
        <w:t xml:space="preserve">de </w:t>
      </w:r>
      <w:r w:rsidR="009D4BD1">
        <w:rPr>
          <w:rFonts w:ascii="Arial" w:eastAsia="Calibri" w:hAnsi="Arial" w:cs="Arial"/>
          <w:spacing w:val="-1"/>
          <w:sz w:val="17"/>
          <w:szCs w:val="17"/>
        </w:rPr>
        <w:t xml:space="preserve">Otros Activos </w:t>
      </w:r>
      <w:r w:rsidRPr="00000A24">
        <w:rPr>
          <w:rFonts w:ascii="Arial" w:eastAsia="Calibri" w:hAnsi="Arial" w:cs="Arial"/>
          <w:spacing w:val="-1"/>
          <w:sz w:val="17"/>
          <w:szCs w:val="17"/>
        </w:rPr>
        <w:t>Circulantes</w:t>
      </w:r>
      <w:r w:rsidRPr="00B467A0">
        <w:rPr>
          <w:rFonts w:ascii="Arial" w:eastAsia="Calibri" w:hAnsi="Arial" w:cs="Arial"/>
          <w:spacing w:val="-1"/>
          <w:sz w:val="17"/>
          <w:szCs w:val="17"/>
        </w:rPr>
        <w:t xml:space="preserve"> se informa </w:t>
      </w:r>
      <w:r w:rsidR="00660984">
        <w:rPr>
          <w:rFonts w:ascii="Arial" w:eastAsia="Calibri" w:hAnsi="Arial" w:cs="Arial"/>
          <w:spacing w:val="-1"/>
          <w:sz w:val="17"/>
          <w:szCs w:val="17"/>
        </w:rPr>
        <w:t xml:space="preserve">que el saldo </w:t>
      </w:r>
      <w:r w:rsidRPr="00B467A0">
        <w:rPr>
          <w:rFonts w:ascii="Arial" w:eastAsia="Calibri" w:hAnsi="Arial" w:cs="Arial"/>
          <w:spacing w:val="-1"/>
          <w:sz w:val="17"/>
          <w:szCs w:val="17"/>
        </w:rPr>
        <w:t xml:space="preserve">al cierre del ejercicio del </w:t>
      </w:r>
      <w:r w:rsidR="00FD7D84">
        <w:rPr>
          <w:rFonts w:ascii="Arial" w:eastAsia="Calibri" w:hAnsi="Arial" w:cs="Arial"/>
          <w:spacing w:val="-1"/>
          <w:sz w:val="17"/>
          <w:szCs w:val="17"/>
        </w:rPr>
        <w:t>2020</w:t>
      </w:r>
      <w:r w:rsidR="00660984">
        <w:rPr>
          <w:rFonts w:ascii="Arial" w:eastAsia="Calibri" w:hAnsi="Arial" w:cs="Arial"/>
          <w:spacing w:val="-1"/>
          <w:sz w:val="17"/>
          <w:szCs w:val="17"/>
        </w:rPr>
        <w:t xml:space="preserve"> es de</w:t>
      </w:r>
      <w:r w:rsidR="0068468D">
        <w:rPr>
          <w:rFonts w:ascii="Arial" w:eastAsia="Calibri" w:hAnsi="Arial" w:cs="Arial"/>
          <w:spacing w:val="-1"/>
          <w:sz w:val="17"/>
          <w:szCs w:val="17"/>
        </w:rPr>
        <w:t>:</w:t>
      </w:r>
    </w:p>
    <w:p w:rsidR="0068468D" w:rsidRPr="00ED5AC6" w:rsidRDefault="0068468D" w:rsidP="0068468D">
      <w:pPr>
        <w:pStyle w:val="Prrafodelista"/>
        <w:autoSpaceDE w:val="0"/>
        <w:autoSpaceDN w:val="0"/>
        <w:adjustRightInd w:val="0"/>
        <w:spacing w:before="240" w:after="120"/>
        <w:jc w:val="center"/>
        <w:rPr>
          <w:rFonts w:ascii="Arial" w:eastAsia="Calibri" w:hAnsi="Arial" w:cs="Arial"/>
          <w:b/>
          <w:spacing w:val="-1"/>
          <w:sz w:val="17"/>
          <w:szCs w:val="17"/>
        </w:rPr>
      </w:pPr>
      <w:r w:rsidRPr="00ED5AC6">
        <w:rPr>
          <w:rFonts w:ascii="Arial" w:eastAsia="Calibri" w:hAnsi="Arial" w:cs="Arial"/>
          <w:b/>
          <w:spacing w:val="-1"/>
          <w:sz w:val="17"/>
          <w:szCs w:val="17"/>
        </w:rPr>
        <w:t>(Pesos)</w:t>
      </w:r>
    </w:p>
    <w:tbl>
      <w:tblPr>
        <w:tblW w:w="9265" w:type="dxa"/>
        <w:jc w:val="center"/>
        <w:tblCellMar>
          <w:left w:w="70" w:type="dxa"/>
          <w:right w:w="70" w:type="dxa"/>
        </w:tblCellMar>
        <w:tblLook w:val="04A0" w:firstRow="1" w:lastRow="0" w:firstColumn="1" w:lastColumn="0" w:noHBand="0" w:noVBand="1"/>
        <w:tblDescription w:val="monto"/>
      </w:tblPr>
      <w:tblGrid>
        <w:gridCol w:w="4903"/>
        <w:gridCol w:w="2181"/>
        <w:gridCol w:w="2181"/>
      </w:tblGrid>
      <w:tr w:rsidR="0068468D" w:rsidRPr="002D70DA" w:rsidTr="0068468D">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8468D" w:rsidRPr="002D70DA" w:rsidRDefault="0068468D" w:rsidP="00C34218">
            <w:pPr>
              <w:jc w:val="center"/>
              <w:rPr>
                <w:rFonts w:ascii="Arial" w:hAnsi="Arial" w:cs="Arial"/>
                <w:b/>
                <w:bCs/>
                <w:color w:val="000000"/>
                <w:sz w:val="17"/>
                <w:szCs w:val="17"/>
              </w:rPr>
            </w:pPr>
            <w:r>
              <w:rPr>
                <w:rFonts w:ascii="Arial" w:hAnsi="Arial" w:cs="Arial"/>
                <w:b/>
                <w:bCs/>
                <w:color w:val="000000"/>
                <w:sz w:val="17"/>
                <w:szCs w:val="17"/>
              </w:rPr>
              <w:t>Concepto</w:t>
            </w:r>
          </w:p>
        </w:tc>
        <w:tc>
          <w:tcPr>
            <w:tcW w:w="218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68468D" w:rsidRPr="002D70DA" w:rsidRDefault="00FD7D84" w:rsidP="00C34218">
            <w:pPr>
              <w:jc w:val="center"/>
              <w:rPr>
                <w:rFonts w:ascii="Arial" w:hAnsi="Arial" w:cs="Arial"/>
                <w:b/>
                <w:bCs/>
                <w:color w:val="000000"/>
                <w:sz w:val="17"/>
                <w:szCs w:val="17"/>
              </w:rPr>
            </w:pPr>
            <w:r>
              <w:rPr>
                <w:rFonts w:ascii="Arial" w:hAnsi="Arial" w:cs="Arial"/>
                <w:b/>
                <w:bCs/>
                <w:color w:val="000000"/>
                <w:sz w:val="17"/>
                <w:szCs w:val="17"/>
              </w:rPr>
              <w:t>2020</w:t>
            </w:r>
          </w:p>
        </w:tc>
        <w:tc>
          <w:tcPr>
            <w:tcW w:w="218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68468D" w:rsidRPr="002D70DA" w:rsidRDefault="00FD7D84" w:rsidP="00C34218">
            <w:pPr>
              <w:jc w:val="center"/>
              <w:rPr>
                <w:rFonts w:ascii="Arial" w:hAnsi="Arial" w:cs="Arial"/>
                <w:b/>
                <w:bCs/>
                <w:color w:val="000000"/>
                <w:sz w:val="17"/>
                <w:szCs w:val="17"/>
              </w:rPr>
            </w:pPr>
            <w:r>
              <w:rPr>
                <w:rFonts w:ascii="Arial" w:hAnsi="Arial" w:cs="Arial"/>
                <w:b/>
                <w:bCs/>
                <w:color w:val="000000"/>
                <w:sz w:val="17"/>
                <w:szCs w:val="17"/>
              </w:rPr>
              <w:t>2019</w:t>
            </w:r>
          </w:p>
        </w:tc>
      </w:tr>
      <w:tr w:rsidR="004256A5" w:rsidRPr="002D70DA" w:rsidTr="0068468D">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auto"/>
          </w:tcPr>
          <w:p w:rsidR="004256A5" w:rsidRPr="00560276" w:rsidRDefault="004256A5" w:rsidP="004256A5">
            <w:pPr>
              <w:rPr>
                <w:rFonts w:ascii="Arial" w:hAnsi="Arial" w:cs="Arial"/>
                <w:sz w:val="17"/>
                <w:szCs w:val="17"/>
              </w:rPr>
            </w:pPr>
            <w:r w:rsidRPr="0068468D">
              <w:rPr>
                <w:rFonts w:ascii="Arial" w:hAnsi="Arial" w:cs="Arial"/>
                <w:sz w:val="17"/>
                <w:szCs w:val="17"/>
              </w:rPr>
              <w:t>Valores en Garantía</w:t>
            </w:r>
          </w:p>
        </w:tc>
        <w:tc>
          <w:tcPr>
            <w:tcW w:w="2181" w:type="dxa"/>
            <w:tcBorders>
              <w:top w:val="single" w:sz="4" w:space="0" w:color="auto"/>
              <w:left w:val="nil"/>
              <w:bottom w:val="single" w:sz="4" w:space="0" w:color="auto"/>
              <w:right w:val="single" w:sz="4" w:space="0" w:color="auto"/>
            </w:tcBorders>
            <w:shd w:val="clear" w:color="auto" w:fill="auto"/>
          </w:tcPr>
          <w:p w:rsidR="004256A5" w:rsidRPr="004256A5" w:rsidRDefault="004256A5" w:rsidP="004256A5">
            <w:pPr>
              <w:jc w:val="right"/>
              <w:rPr>
                <w:rFonts w:ascii="Arial" w:hAnsi="Arial" w:cs="Arial"/>
                <w:sz w:val="17"/>
                <w:szCs w:val="17"/>
              </w:rPr>
            </w:pPr>
            <w:r w:rsidRPr="004256A5">
              <w:rPr>
                <w:rFonts w:ascii="Arial" w:hAnsi="Arial" w:cs="Arial"/>
                <w:sz w:val="17"/>
                <w:szCs w:val="17"/>
              </w:rPr>
              <w:t xml:space="preserve">61,223 </w:t>
            </w:r>
          </w:p>
        </w:tc>
        <w:tc>
          <w:tcPr>
            <w:tcW w:w="2181" w:type="dxa"/>
            <w:tcBorders>
              <w:top w:val="single" w:sz="4" w:space="0" w:color="auto"/>
              <w:left w:val="nil"/>
              <w:bottom w:val="single" w:sz="4" w:space="0" w:color="auto"/>
              <w:right w:val="single" w:sz="4" w:space="0" w:color="auto"/>
            </w:tcBorders>
            <w:shd w:val="clear" w:color="auto" w:fill="auto"/>
          </w:tcPr>
          <w:p w:rsidR="004256A5" w:rsidRPr="004256A5" w:rsidRDefault="004256A5" w:rsidP="004256A5">
            <w:pPr>
              <w:jc w:val="right"/>
              <w:rPr>
                <w:rFonts w:ascii="Arial" w:hAnsi="Arial" w:cs="Arial"/>
                <w:sz w:val="17"/>
                <w:szCs w:val="17"/>
              </w:rPr>
            </w:pPr>
            <w:r w:rsidRPr="004256A5">
              <w:rPr>
                <w:rFonts w:ascii="Arial" w:hAnsi="Arial" w:cs="Arial"/>
                <w:sz w:val="17"/>
                <w:szCs w:val="17"/>
              </w:rPr>
              <w:t xml:space="preserve">61,223 </w:t>
            </w:r>
          </w:p>
        </w:tc>
      </w:tr>
    </w:tbl>
    <w:p w:rsidR="0068468D" w:rsidRDefault="0068468D" w:rsidP="0068468D">
      <w:pPr>
        <w:autoSpaceDE w:val="0"/>
        <w:autoSpaceDN w:val="0"/>
        <w:adjustRightInd w:val="0"/>
        <w:spacing w:before="240" w:after="120"/>
        <w:ind w:left="709"/>
        <w:rPr>
          <w:rFonts w:ascii="Arial" w:eastAsia="Calibri" w:hAnsi="Arial" w:cs="Arial"/>
          <w:spacing w:val="-1"/>
          <w:sz w:val="17"/>
          <w:szCs w:val="17"/>
        </w:rPr>
      </w:pPr>
    </w:p>
    <w:p w:rsidR="0068468D" w:rsidRDefault="0068468D" w:rsidP="0068468D">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El cual está distribuido de la siguiente manera:</w:t>
      </w:r>
    </w:p>
    <w:p w:rsidR="0068468D" w:rsidRPr="002D70DA" w:rsidRDefault="0068468D" w:rsidP="0068468D">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4256A5" w:rsidRPr="002D70DA" w:rsidTr="00E90D8E">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256A5" w:rsidRPr="002D70DA" w:rsidRDefault="004256A5" w:rsidP="00F338A3">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4256A5"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4256A5"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2019</w:t>
            </w:r>
          </w:p>
        </w:tc>
      </w:tr>
      <w:tr w:rsidR="004256A5" w:rsidRPr="002D70DA" w:rsidTr="00E90D8E">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256A5" w:rsidRPr="00C34218" w:rsidRDefault="004256A5" w:rsidP="004256A5">
            <w:pPr>
              <w:rPr>
                <w:rFonts w:ascii="Arial" w:hAnsi="Arial" w:cs="Arial"/>
                <w:b/>
                <w:sz w:val="17"/>
                <w:szCs w:val="17"/>
              </w:rPr>
            </w:pPr>
            <w:r w:rsidRPr="00C34218">
              <w:rPr>
                <w:rFonts w:ascii="Arial" w:hAnsi="Arial" w:cs="Arial"/>
                <w:b/>
                <w:sz w:val="17"/>
                <w:szCs w:val="17"/>
              </w:rPr>
              <w:t>Órganos Autónomos</w:t>
            </w:r>
          </w:p>
        </w:tc>
        <w:tc>
          <w:tcPr>
            <w:tcW w:w="2180" w:type="dxa"/>
            <w:tcBorders>
              <w:top w:val="single" w:sz="4" w:space="0" w:color="auto"/>
              <w:left w:val="nil"/>
              <w:bottom w:val="single" w:sz="4" w:space="0" w:color="auto"/>
              <w:right w:val="single" w:sz="4" w:space="0" w:color="auto"/>
            </w:tcBorders>
            <w:shd w:val="clear" w:color="auto" w:fill="auto"/>
          </w:tcPr>
          <w:p w:rsidR="004256A5" w:rsidRPr="004256A5" w:rsidRDefault="004256A5" w:rsidP="004256A5">
            <w:pPr>
              <w:jc w:val="right"/>
              <w:rPr>
                <w:rFonts w:ascii="Arial" w:hAnsi="Arial" w:cs="Arial"/>
                <w:b/>
                <w:sz w:val="17"/>
                <w:szCs w:val="17"/>
              </w:rPr>
            </w:pPr>
            <w:r w:rsidRPr="004256A5">
              <w:rPr>
                <w:rFonts w:ascii="Arial" w:hAnsi="Arial" w:cs="Arial"/>
                <w:b/>
                <w:sz w:val="17"/>
                <w:szCs w:val="17"/>
              </w:rPr>
              <w:t xml:space="preserve">61,223 </w:t>
            </w:r>
          </w:p>
        </w:tc>
        <w:tc>
          <w:tcPr>
            <w:tcW w:w="2180" w:type="dxa"/>
            <w:tcBorders>
              <w:top w:val="single" w:sz="4" w:space="0" w:color="auto"/>
              <w:left w:val="nil"/>
              <w:bottom w:val="single" w:sz="4" w:space="0" w:color="auto"/>
              <w:right w:val="single" w:sz="4" w:space="0" w:color="auto"/>
            </w:tcBorders>
            <w:shd w:val="clear" w:color="auto" w:fill="auto"/>
          </w:tcPr>
          <w:p w:rsidR="004256A5" w:rsidRPr="004256A5" w:rsidRDefault="004256A5" w:rsidP="004256A5">
            <w:pPr>
              <w:jc w:val="right"/>
              <w:rPr>
                <w:rFonts w:ascii="Arial" w:hAnsi="Arial" w:cs="Arial"/>
                <w:b/>
                <w:sz w:val="17"/>
                <w:szCs w:val="17"/>
              </w:rPr>
            </w:pPr>
            <w:r w:rsidRPr="004256A5">
              <w:rPr>
                <w:rFonts w:ascii="Arial" w:hAnsi="Arial" w:cs="Arial"/>
                <w:b/>
                <w:sz w:val="17"/>
                <w:szCs w:val="17"/>
              </w:rPr>
              <w:t xml:space="preserve">61,223 </w:t>
            </w:r>
          </w:p>
        </w:tc>
      </w:tr>
      <w:tr w:rsidR="004256A5" w:rsidRPr="002D70DA" w:rsidTr="00E90D8E">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256A5" w:rsidRPr="00C34218" w:rsidRDefault="004256A5" w:rsidP="004256A5">
            <w:pPr>
              <w:ind w:left="497"/>
              <w:rPr>
                <w:rFonts w:ascii="Arial" w:hAnsi="Arial" w:cs="Arial"/>
                <w:sz w:val="17"/>
                <w:szCs w:val="17"/>
              </w:rPr>
            </w:pPr>
            <w:r w:rsidRPr="00C34218">
              <w:rPr>
                <w:rFonts w:ascii="Arial" w:hAnsi="Arial" w:cs="Arial"/>
                <w:sz w:val="17"/>
                <w:szCs w:val="17"/>
              </w:rPr>
              <w:t>Entidad Superior de Fiscalización del Estado de</w:t>
            </w:r>
          </w:p>
          <w:p w:rsidR="004256A5" w:rsidRPr="00C34218" w:rsidRDefault="004256A5" w:rsidP="004256A5">
            <w:pPr>
              <w:ind w:left="497"/>
              <w:rPr>
                <w:rFonts w:ascii="Arial" w:hAnsi="Arial" w:cs="Arial"/>
                <w:sz w:val="17"/>
                <w:szCs w:val="17"/>
              </w:rPr>
            </w:pPr>
            <w:r w:rsidRPr="00C34218">
              <w:rPr>
                <w:rFonts w:ascii="Arial" w:hAnsi="Arial" w:cs="Arial"/>
                <w:sz w:val="17"/>
                <w:szCs w:val="17"/>
              </w:rPr>
              <w:t>Querétaro</w:t>
            </w:r>
          </w:p>
        </w:tc>
        <w:tc>
          <w:tcPr>
            <w:tcW w:w="2180" w:type="dxa"/>
            <w:tcBorders>
              <w:top w:val="single" w:sz="4" w:space="0" w:color="auto"/>
              <w:left w:val="nil"/>
              <w:bottom w:val="single" w:sz="4" w:space="0" w:color="auto"/>
              <w:right w:val="single" w:sz="4" w:space="0" w:color="auto"/>
            </w:tcBorders>
            <w:shd w:val="clear" w:color="auto" w:fill="auto"/>
          </w:tcPr>
          <w:p w:rsidR="004256A5" w:rsidRPr="004256A5" w:rsidRDefault="004256A5" w:rsidP="004256A5">
            <w:pPr>
              <w:jc w:val="right"/>
              <w:rPr>
                <w:rFonts w:ascii="Arial" w:hAnsi="Arial" w:cs="Arial"/>
                <w:sz w:val="17"/>
                <w:szCs w:val="17"/>
              </w:rPr>
            </w:pPr>
            <w:r w:rsidRPr="004256A5">
              <w:rPr>
                <w:rFonts w:ascii="Arial" w:hAnsi="Arial" w:cs="Arial"/>
                <w:sz w:val="17"/>
                <w:szCs w:val="17"/>
              </w:rPr>
              <w:t xml:space="preserve">61,223 </w:t>
            </w:r>
          </w:p>
        </w:tc>
        <w:tc>
          <w:tcPr>
            <w:tcW w:w="2180" w:type="dxa"/>
            <w:tcBorders>
              <w:top w:val="single" w:sz="4" w:space="0" w:color="auto"/>
              <w:left w:val="nil"/>
              <w:bottom w:val="single" w:sz="4" w:space="0" w:color="auto"/>
              <w:right w:val="single" w:sz="4" w:space="0" w:color="auto"/>
            </w:tcBorders>
            <w:shd w:val="clear" w:color="auto" w:fill="auto"/>
          </w:tcPr>
          <w:p w:rsidR="004256A5" w:rsidRPr="004256A5" w:rsidRDefault="004256A5" w:rsidP="004256A5">
            <w:pPr>
              <w:jc w:val="right"/>
              <w:rPr>
                <w:rFonts w:ascii="Arial" w:hAnsi="Arial" w:cs="Arial"/>
                <w:sz w:val="17"/>
                <w:szCs w:val="17"/>
              </w:rPr>
            </w:pPr>
            <w:r w:rsidRPr="004256A5">
              <w:rPr>
                <w:rFonts w:ascii="Arial" w:hAnsi="Arial" w:cs="Arial"/>
                <w:sz w:val="17"/>
                <w:szCs w:val="17"/>
              </w:rPr>
              <w:t xml:space="preserve">61,223 </w:t>
            </w:r>
          </w:p>
        </w:tc>
      </w:tr>
      <w:tr w:rsidR="004256A5" w:rsidRPr="002D70DA" w:rsidTr="00E90D8E">
        <w:trPr>
          <w:trHeight w:val="240"/>
          <w:jc w:val="center"/>
        </w:trPr>
        <w:tc>
          <w:tcPr>
            <w:tcW w:w="4900" w:type="dxa"/>
            <w:tcBorders>
              <w:top w:val="nil"/>
              <w:left w:val="nil"/>
              <w:bottom w:val="nil"/>
              <w:right w:val="single" w:sz="4" w:space="0" w:color="auto"/>
            </w:tcBorders>
            <w:shd w:val="clear" w:color="000000" w:fill="FFFFFF"/>
            <w:vAlign w:val="center"/>
            <w:hideMark/>
          </w:tcPr>
          <w:p w:rsidR="004256A5" w:rsidRPr="002D70DA" w:rsidRDefault="004256A5" w:rsidP="004256A5">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4256A5" w:rsidRPr="004256A5" w:rsidRDefault="004256A5" w:rsidP="004256A5">
            <w:pPr>
              <w:jc w:val="right"/>
              <w:rPr>
                <w:rFonts w:ascii="Arial" w:hAnsi="Arial" w:cs="Arial"/>
                <w:b/>
                <w:sz w:val="17"/>
                <w:szCs w:val="17"/>
              </w:rPr>
            </w:pPr>
            <w:r w:rsidRPr="004256A5">
              <w:rPr>
                <w:rFonts w:ascii="Arial" w:hAnsi="Arial" w:cs="Arial"/>
                <w:b/>
                <w:sz w:val="17"/>
                <w:szCs w:val="17"/>
              </w:rPr>
              <w:t xml:space="preserve">61,223 </w:t>
            </w:r>
          </w:p>
        </w:tc>
        <w:tc>
          <w:tcPr>
            <w:tcW w:w="2180" w:type="dxa"/>
            <w:tcBorders>
              <w:top w:val="nil"/>
              <w:left w:val="single" w:sz="4" w:space="0" w:color="auto"/>
              <w:bottom w:val="single" w:sz="4" w:space="0" w:color="auto"/>
              <w:right w:val="single" w:sz="4" w:space="0" w:color="auto"/>
            </w:tcBorders>
            <w:shd w:val="clear" w:color="000000" w:fill="FFFFFF"/>
          </w:tcPr>
          <w:p w:rsidR="004256A5" w:rsidRPr="004256A5" w:rsidRDefault="004256A5" w:rsidP="004256A5">
            <w:pPr>
              <w:jc w:val="right"/>
              <w:rPr>
                <w:rFonts w:ascii="Arial" w:hAnsi="Arial" w:cs="Arial"/>
                <w:b/>
                <w:sz w:val="17"/>
                <w:szCs w:val="17"/>
              </w:rPr>
            </w:pPr>
            <w:r w:rsidRPr="004256A5">
              <w:rPr>
                <w:rFonts w:ascii="Arial" w:hAnsi="Arial" w:cs="Arial"/>
                <w:b/>
                <w:sz w:val="17"/>
                <w:szCs w:val="17"/>
              </w:rPr>
              <w:t xml:space="preserve">61,223 </w:t>
            </w:r>
          </w:p>
        </w:tc>
      </w:tr>
    </w:tbl>
    <w:p w:rsidR="0068468D" w:rsidRDefault="0068468D" w:rsidP="0068468D">
      <w:pPr>
        <w:spacing w:before="80" w:line="250" w:lineRule="exact"/>
        <w:ind w:left="709"/>
        <w:jc w:val="both"/>
        <w:rPr>
          <w:rFonts w:ascii="Arial" w:eastAsia="Calibri" w:hAnsi="Arial" w:cs="Arial"/>
          <w:spacing w:val="-1"/>
          <w:sz w:val="17"/>
          <w:szCs w:val="17"/>
        </w:rPr>
      </w:pPr>
    </w:p>
    <w:p w:rsidR="00660984" w:rsidRDefault="00660984" w:rsidP="00000A24">
      <w:pPr>
        <w:spacing w:before="80" w:line="250" w:lineRule="exact"/>
        <w:ind w:left="709"/>
        <w:jc w:val="both"/>
        <w:rPr>
          <w:rFonts w:ascii="Arial" w:eastAsia="Calibri" w:hAnsi="Arial" w:cs="Arial"/>
          <w:spacing w:val="-1"/>
          <w:sz w:val="17"/>
          <w:szCs w:val="17"/>
        </w:rPr>
      </w:pPr>
    </w:p>
    <w:p w:rsidR="007F4D82" w:rsidRDefault="007F4D82">
      <w:pPr>
        <w:rPr>
          <w:rFonts w:ascii="Arial" w:eastAsia="Calibri" w:hAnsi="Arial" w:cs="Arial"/>
          <w:b/>
          <w:spacing w:val="-1"/>
          <w:sz w:val="17"/>
          <w:szCs w:val="17"/>
        </w:rPr>
      </w:pPr>
      <w:r>
        <w:rPr>
          <w:rFonts w:ascii="Arial" w:eastAsia="Calibri" w:hAnsi="Arial" w:cs="Arial"/>
          <w:b/>
          <w:spacing w:val="-1"/>
          <w:sz w:val="17"/>
          <w:szCs w:val="17"/>
        </w:rPr>
        <w:br w:type="page"/>
      </w:r>
    </w:p>
    <w:p w:rsidR="00E56DC9" w:rsidRPr="002D70DA" w:rsidRDefault="00E56DC9" w:rsidP="00E56DC9">
      <w:pPr>
        <w:pStyle w:val="Prrafodelista"/>
        <w:numPr>
          <w:ilvl w:val="0"/>
          <w:numId w:val="8"/>
        </w:numPr>
        <w:spacing w:before="80" w:line="250" w:lineRule="exact"/>
        <w:contextualSpacing w:val="0"/>
        <w:jc w:val="both"/>
        <w:rPr>
          <w:rFonts w:ascii="Arial" w:eastAsia="Calibri" w:hAnsi="Arial" w:cs="Arial"/>
          <w:b/>
          <w:spacing w:val="-1"/>
          <w:sz w:val="17"/>
          <w:szCs w:val="17"/>
        </w:rPr>
      </w:pPr>
      <w:r w:rsidRPr="00E56DC9">
        <w:rPr>
          <w:rFonts w:ascii="Arial" w:eastAsia="Calibri" w:hAnsi="Arial" w:cs="Arial"/>
          <w:b/>
          <w:spacing w:val="-1"/>
          <w:sz w:val="17"/>
          <w:szCs w:val="17"/>
        </w:rPr>
        <w:lastRenderedPageBreak/>
        <w:t>Inversiones Financieras a Largo Plazo</w:t>
      </w:r>
      <w:r w:rsidRPr="002D70DA">
        <w:rPr>
          <w:rFonts w:ascii="Arial" w:eastAsia="Calibri" w:hAnsi="Arial" w:cs="Arial"/>
          <w:b/>
          <w:spacing w:val="-1"/>
          <w:sz w:val="17"/>
          <w:szCs w:val="17"/>
        </w:rPr>
        <w:t>:</w:t>
      </w:r>
    </w:p>
    <w:p w:rsidR="00E56DC9" w:rsidRDefault="00E56DC9" w:rsidP="00E56DC9">
      <w:pPr>
        <w:spacing w:before="80" w:line="250" w:lineRule="exact"/>
        <w:ind w:left="709"/>
        <w:jc w:val="both"/>
        <w:rPr>
          <w:rFonts w:ascii="Arial" w:eastAsia="Calibri" w:hAnsi="Arial" w:cs="Arial"/>
          <w:spacing w:val="-1"/>
          <w:sz w:val="17"/>
          <w:szCs w:val="17"/>
        </w:rPr>
      </w:pPr>
      <w:r w:rsidRPr="00B467A0">
        <w:rPr>
          <w:rFonts w:ascii="Arial" w:eastAsia="Calibri" w:hAnsi="Arial" w:cs="Arial"/>
          <w:spacing w:val="-1"/>
          <w:sz w:val="17"/>
          <w:szCs w:val="17"/>
        </w:rPr>
        <w:t xml:space="preserve">En lo que respecta al rubro </w:t>
      </w:r>
      <w:r>
        <w:rPr>
          <w:rFonts w:ascii="Arial" w:eastAsia="Calibri" w:hAnsi="Arial" w:cs="Arial"/>
          <w:spacing w:val="-1"/>
          <w:sz w:val="17"/>
          <w:szCs w:val="17"/>
        </w:rPr>
        <w:t xml:space="preserve">de </w:t>
      </w:r>
      <w:r w:rsidR="001C4948" w:rsidRPr="001C4948">
        <w:rPr>
          <w:rFonts w:ascii="Arial" w:eastAsia="Calibri" w:hAnsi="Arial" w:cs="Arial"/>
          <w:spacing w:val="-1"/>
          <w:sz w:val="17"/>
          <w:szCs w:val="17"/>
        </w:rPr>
        <w:t>Inversiones Financieras a Largo Plazo</w:t>
      </w:r>
      <w:r w:rsidR="001C4948">
        <w:rPr>
          <w:rFonts w:ascii="Arial" w:eastAsia="Calibri" w:hAnsi="Arial" w:cs="Arial"/>
          <w:spacing w:val="-1"/>
          <w:sz w:val="17"/>
          <w:szCs w:val="17"/>
        </w:rPr>
        <w:t xml:space="preserve"> </w:t>
      </w:r>
      <w:r w:rsidRPr="00B467A0">
        <w:rPr>
          <w:rFonts w:ascii="Arial" w:eastAsia="Calibri" w:hAnsi="Arial" w:cs="Arial"/>
          <w:spacing w:val="-1"/>
          <w:sz w:val="17"/>
          <w:szCs w:val="17"/>
        </w:rPr>
        <w:t>se informa</w:t>
      </w:r>
      <w:r>
        <w:rPr>
          <w:rFonts w:ascii="Arial" w:eastAsia="Calibri" w:hAnsi="Arial" w:cs="Arial"/>
          <w:spacing w:val="-1"/>
          <w:sz w:val="17"/>
          <w:szCs w:val="17"/>
        </w:rPr>
        <w:t xml:space="preserve"> que el saldo </w:t>
      </w:r>
      <w:r w:rsidRPr="00B467A0">
        <w:rPr>
          <w:rFonts w:ascii="Arial" w:eastAsia="Calibri" w:hAnsi="Arial" w:cs="Arial"/>
          <w:spacing w:val="-1"/>
          <w:sz w:val="17"/>
          <w:szCs w:val="17"/>
        </w:rPr>
        <w:t xml:space="preserve">al cierre del ejercicio del </w:t>
      </w:r>
      <w:r w:rsidR="00FD7D84">
        <w:rPr>
          <w:rFonts w:ascii="Arial" w:eastAsia="Calibri" w:hAnsi="Arial" w:cs="Arial"/>
          <w:spacing w:val="-1"/>
          <w:sz w:val="17"/>
          <w:szCs w:val="17"/>
        </w:rPr>
        <w:t>2020</w:t>
      </w:r>
      <w:r>
        <w:rPr>
          <w:rFonts w:ascii="Arial" w:eastAsia="Calibri" w:hAnsi="Arial" w:cs="Arial"/>
          <w:spacing w:val="-1"/>
          <w:sz w:val="17"/>
          <w:szCs w:val="17"/>
        </w:rPr>
        <w:t xml:space="preserve"> se integra por:</w:t>
      </w:r>
    </w:p>
    <w:p w:rsidR="00E56DC9" w:rsidRPr="00ED5AC6" w:rsidRDefault="00E56DC9" w:rsidP="00E56DC9">
      <w:pPr>
        <w:pStyle w:val="Prrafodelista"/>
        <w:autoSpaceDE w:val="0"/>
        <w:autoSpaceDN w:val="0"/>
        <w:adjustRightInd w:val="0"/>
        <w:spacing w:before="240" w:after="120"/>
        <w:jc w:val="center"/>
        <w:rPr>
          <w:rFonts w:ascii="Arial" w:eastAsia="Calibri" w:hAnsi="Arial" w:cs="Arial"/>
          <w:b/>
          <w:spacing w:val="-1"/>
          <w:sz w:val="17"/>
          <w:szCs w:val="17"/>
        </w:rPr>
      </w:pPr>
      <w:r w:rsidRPr="00ED5AC6">
        <w:rPr>
          <w:rFonts w:ascii="Arial" w:eastAsia="Calibri" w:hAnsi="Arial" w:cs="Arial"/>
          <w:b/>
          <w:spacing w:val="-1"/>
          <w:sz w:val="17"/>
          <w:szCs w:val="17"/>
        </w:rPr>
        <w:t>(Pesos)</w:t>
      </w:r>
    </w:p>
    <w:tbl>
      <w:tblPr>
        <w:tblW w:w="9265" w:type="dxa"/>
        <w:jc w:val="center"/>
        <w:tblCellMar>
          <w:left w:w="70" w:type="dxa"/>
          <w:right w:w="70" w:type="dxa"/>
        </w:tblCellMar>
        <w:tblLook w:val="04A0" w:firstRow="1" w:lastRow="0" w:firstColumn="1" w:lastColumn="0" w:noHBand="0" w:noVBand="1"/>
        <w:tblDescription w:val="monto"/>
      </w:tblPr>
      <w:tblGrid>
        <w:gridCol w:w="4903"/>
        <w:gridCol w:w="2181"/>
        <w:gridCol w:w="2181"/>
      </w:tblGrid>
      <w:tr w:rsidR="00E56DC9" w:rsidRPr="002D70DA" w:rsidTr="009E4249">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56DC9" w:rsidRPr="002D70DA" w:rsidRDefault="00E56DC9" w:rsidP="00F338A3">
            <w:pPr>
              <w:jc w:val="center"/>
              <w:rPr>
                <w:rFonts w:ascii="Arial" w:hAnsi="Arial" w:cs="Arial"/>
                <w:b/>
                <w:bCs/>
                <w:color w:val="000000"/>
                <w:sz w:val="17"/>
                <w:szCs w:val="17"/>
              </w:rPr>
            </w:pPr>
            <w:r>
              <w:rPr>
                <w:rFonts w:ascii="Arial" w:hAnsi="Arial" w:cs="Arial"/>
                <w:b/>
                <w:bCs/>
                <w:color w:val="000000"/>
                <w:sz w:val="17"/>
                <w:szCs w:val="17"/>
              </w:rPr>
              <w:t>Concepto</w:t>
            </w:r>
          </w:p>
        </w:tc>
        <w:tc>
          <w:tcPr>
            <w:tcW w:w="218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E56DC9"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2020</w:t>
            </w:r>
          </w:p>
        </w:tc>
        <w:tc>
          <w:tcPr>
            <w:tcW w:w="218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E56DC9"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2019</w:t>
            </w:r>
          </w:p>
        </w:tc>
      </w:tr>
      <w:tr w:rsidR="009E4249" w:rsidRPr="002D70DA" w:rsidTr="009E4249">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auto"/>
          </w:tcPr>
          <w:p w:rsidR="009E4249" w:rsidRPr="001C4948" w:rsidRDefault="009E4249" w:rsidP="009E4249">
            <w:pPr>
              <w:rPr>
                <w:rFonts w:ascii="Arial" w:hAnsi="Arial" w:cs="Arial"/>
                <w:sz w:val="17"/>
                <w:szCs w:val="17"/>
              </w:rPr>
            </w:pPr>
            <w:r w:rsidRPr="001C4948">
              <w:rPr>
                <w:rFonts w:ascii="Arial" w:hAnsi="Arial" w:cs="Arial"/>
                <w:sz w:val="17"/>
                <w:szCs w:val="17"/>
              </w:rPr>
              <w:t>Fideicomisos, Mandatos y Contratos Análogos</w:t>
            </w:r>
          </w:p>
        </w:tc>
        <w:tc>
          <w:tcPr>
            <w:tcW w:w="2181" w:type="dxa"/>
            <w:tcBorders>
              <w:top w:val="single" w:sz="4" w:space="0" w:color="auto"/>
              <w:left w:val="nil"/>
              <w:bottom w:val="single" w:sz="4" w:space="0" w:color="auto"/>
              <w:right w:val="single" w:sz="4" w:space="0" w:color="auto"/>
            </w:tcBorders>
            <w:shd w:val="clear" w:color="auto" w:fill="auto"/>
          </w:tcPr>
          <w:p w:rsidR="009E4249" w:rsidRPr="009E4249" w:rsidRDefault="009E4249" w:rsidP="009E4249">
            <w:pPr>
              <w:jc w:val="right"/>
              <w:rPr>
                <w:rFonts w:ascii="Arial" w:hAnsi="Arial" w:cs="Arial"/>
                <w:sz w:val="17"/>
                <w:szCs w:val="17"/>
              </w:rPr>
            </w:pPr>
            <w:r w:rsidRPr="009E4249">
              <w:rPr>
                <w:rFonts w:ascii="Arial" w:hAnsi="Arial" w:cs="Arial"/>
                <w:sz w:val="17"/>
                <w:szCs w:val="17"/>
              </w:rPr>
              <w:t xml:space="preserve">65,566,466 </w:t>
            </w:r>
          </w:p>
        </w:tc>
        <w:tc>
          <w:tcPr>
            <w:tcW w:w="2181" w:type="dxa"/>
            <w:tcBorders>
              <w:top w:val="single" w:sz="4" w:space="0" w:color="auto"/>
              <w:left w:val="nil"/>
              <w:bottom w:val="single" w:sz="4" w:space="0" w:color="auto"/>
              <w:right w:val="single" w:sz="4" w:space="0" w:color="auto"/>
            </w:tcBorders>
            <w:shd w:val="clear" w:color="auto" w:fill="auto"/>
          </w:tcPr>
          <w:p w:rsidR="009E4249" w:rsidRPr="009E4249" w:rsidRDefault="009E4249" w:rsidP="009E4249">
            <w:pPr>
              <w:jc w:val="right"/>
              <w:rPr>
                <w:rFonts w:ascii="Arial" w:hAnsi="Arial" w:cs="Arial"/>
                <w:sz w:val="17"/>
                <w:szCs w:val="17"/>
              </w:rPr>
            </w:pPr>
            <w:r w:rsidRPr="009E4249">
              <w:rPr>
                <w:rFonts w:ascii="Arial" w:hAnsi="Arial" w:cs="Arial"/>
                <w:sz w:val="17"/>
                <w:szCs w:val="17"/>
              </w:rPr>
              <w:t>190,408,858.28</w:t>
            </w:r>
          </w:p>
        </w:tc>
      </w:tr>
      <w:tr w:rsidR="009E4249" w:rsidRPr="002D70DA" w:rsidTr="009E4249">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auto"/>
          </w:tcPr>
          <w:p w:rsidR="009E4249" w:rsidRPr="001C4948" w:rsidRDefault="009E4249" w:rsidP="009E4249">
            <w:pPr>
              <w:rPr>
                <w:rFonts w:ascii="Arial" w:hAnsi="Arial" w:cs="Arial"/>
                <w:sz w:val="17"/>
                <w:szCs w:val="17"/>
              </w:rPr>
            </w:pPr>
            <w:r w:rsidRPr="001C4948">
              <w:rPr>
                <w:rFonts w:ascii="Arial" w:hAnsi="Arial" w:cs="Arial"/>
                <w:sz w:val="17"/>
                <w:szCs w:val="17"/>
              </w:rPr>
              <w:t>Participaciones y Aportaciones de Capital</w:t>
            </w:r>
          </w:p>
        </w:tc>
        <w:tc>
          <w:tcPr>
            <w:tcW w:w="2181" w:type="dxa"/>
            <w:tcBorders>
              <w:top w:val="single" w:sz="4" w:space="0" w:color="auto"/>
              <w:left w:val="nil"/>
              <w:bottom w:val="single" w:sz="4" w:space="0" w:color="auto"/>
              <w:right w:val="single" w:sz="4" w:space="0" w:color="auto"/>
            </w:tcBorders>
            <w:shd w:val="clear" w:color="auto" w:fill="auto"/>
          </w:tcPr>
          <w:p w:rsidR="009E4249" w:rsidRPr="009E4249" w:rsidRDefault="009E4249" w:rsidP="009E4249">
            <w:pPr>
              <w:jc w:val="right"/>
              <w:rPr>
                <w:rFonts w:ascii="Arial" w:hAnsi="Arial" w:cs="Arial"/>
                <w:sz w:val="17"/>
                <w:szCs w:val="17"/>
              </w:rPr>
            </w:pPr>
            <w:r w:rsidRPr="009E4249">
              <w:rPr>
                <w:rFonts w:ascii="Arial" w:hAnsi="Arial" w:cs="Arial"/>
                <w:sz w:val="17"/>
                <w:szCs w:val="17"/>
              </w:rPr>
              <w:t xml:space="preserve">26,048,393,212 </w:t>
            </w:r>
          </w:p>
        </w:tc>
        <w:tc>
          <w:tcPr>
            <w:tcW w:w="2181" w:type="dxa"/>
            <w:tcBorders>
              <w:top w:val="single" w:sz="4" w:space="0" w:color="auto"/>
              <w:left w:val="nil"/>
              <w:bottom w:val="single" w:sz="4" w:space="0" w:color="auto"/>
              <w:right w:val="single" w:sz="4" w:space="0" w:color="auto"/>
            </w:tcBorders>
            <w:shd w:val="clear" w:color="auto" w:fill="auto"/>
          </w:tcPr>
          <w:p w:rsidR="009E4249" w:rsidRPr="009E4249" w:rsidRDefault="009E4249" w:rsidP="009E4249">
            <w:pPr>
              <w:jc w:val="right"/>
              <w:rPr>
                <w:rFonts w:ascii="Arial" w:hAnsi="Arial" w:cs="Arial"/>
                <w:sz w:val="17"/>
                <w:szCs w:val="17"/>
              </w:rPr>
            </w:pPr>
            <w:r w:rsidRPr="009E4249">
              <w:rPr>
                <w:rFonts w:ascii="Arial" w:hAnsi="Arial" w:cs="Arial"/>
                <w:sz w:val="17"/>
                <w:szCs w:val="17"/>
              </w:rPr>
              <w:t>25,308,243,319</w:t>
            </w:r>
          </w:p>
        </w:tc>
      </w:tr>
      <w:tr w:rsidR="009E4249" w:rsidRPr="002D70DA" w:rsidTr="009E4249">
        <w:trPr>
          <w:trHeight w:val="240"/>
          <w:jc w:val="center"/>
        </w:trPr>
        <w:tc>
          <w:tcPr>
            <w:tcW w:w="4903" w:type="dxa"/>
            <w:tcBorders>
              <w:top w:val="nil"/>
              <w:left w:val="nil"/>
              <w:bottom w:val="nil"/>
              <w:right w:val="single" w:sz="4" w:space="0" w:color="auto"/>
            </w:tcBorders>
            <w:shd w:val="clear" w:color="000000" w:fill="FFFFFF"/>
            <w:vAlign w:val="center"/>
            <w:hideMark/>
          </w:tcPr>
          <w:p w:rsidR="009E4249" w:rsidRPr="002D70DA" w:rsidRDefault="009E4249" w:rsidP="009E4249">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1" w:type="dxa"/>
            <w:tcBorders>
              <w:top w:val="single" w:sz="4" w:space="0" w:color="auto"/>
              <w:left w:val="single" w:sz="4" w:space="0" w:color="auto"/>
              <w:bottom w:val="single" w:sz="4" w:space="0" w:color="auto"/>
              <w:right w:val="nil"/>
            </w:tcBorders>
            <w:shd w:val="clear" w:color="000000" w:fill="FFFFFF"/>
          </w:tcPr>
          <w:p w:rsidR="009E4249" w:rsidRPr="009E4249" w:rsidRDefault="009E4249" w:rsidP="009E4249">
            <w:pPr>
              <w:jc w:val="right"/>
              <w:rPr>
                <w:rFonts w:ascii="Arial" w:hAnsi="Arial" w:cs="Arial"/>
                <w:b/>
                <w:sz w:val="17"/>
                <w:szCs w:val="17"/>
              </w:rPr>
            </w:pPr>
            <w:r w:rsidRPr="009E4249">
              <w:rPr>
                <w:rFonts w:ascii="Arial" w:hAnsi="Arial" w:cs="Arial"/>
                <w:b/>
                <w:sz w:val="17"/>
                <w:szCs w:val="17"/>
              </w:rPr>
              <w:t>26,113,959,678</w:t>
            </w:r>
          </w:p>
        </w:tc>
        <w:tc>
          <w:tcPr>
            <w:tcW w:w="2181" w:type="dxa"/>
            <w:tcBorders>
              <w:top w:val="nil"/>
              <w:left w:val="single" w:sz="4" w:space="0" w:color="auto"/>
              <w:bottom w:val="single" w:sz="4" w:space="0" w:color="auto"/>
              <w:right w:val="single" w:sz="4" w:space="0" w:color="auto"/>
            </w:tcBorders>
            <w:shd w:val="clear" w:color="000000" w:fill="FFFFFF"/>
          </w:tcPr>
          <w:p w:rsidR="009E4249" w:rsidRPr="009E4249" w:rsidRDefault="009E4249" w:rsidP="009E4249">
            <w:pPr>
              <w:jc w:val="right"/>
              <w:rPr>
                <w:rFonts w:ascii="Arial" w:hAnsi="Arial" w:cs="Arial"/>
                <w:b/>
                <w:sz w:val="17"/>
                <w:szCs w:val="17"/>
              </w:rPr>
            </w:pPr>
            <w:r w:rsidRPr="009E4249">
              <w:rPr>
                <w:rFonts w:ascii="Arial" w:hAnsi="Arial" w:cs="Arial"/>
                <w:b/>
                <w:sz w:val="17"/>
                <w:szCs w:val="17"/>
              </w:rPr>
              <w:t xml:space="preserve">25,498,652,117 </w:t>
            </w:r>
          </w:p>
        </w:tc>
      </w:tr>
    </w:tbl>
    <w:p w:rsidR="00E56DC9" w:rsidRDefault="00E56DC9" w:rsidP="00000A24">
      <w:pPr>
        <w:spacing w:before="80" w:line="250" w:lineRule="exact"/>
        <w:ind w:left="709"/>
        <w:jc w:val="both"/>
        <w:rPr>
          <w:rFonts w:ascii="Arial" w:eastAsia="Calibri" w:hAnsi="Arial" w:cs="Arial"/>
          <w:spacing w:val="-1"/>
          <w:sz w:val="17"/>
          <w:szCs w:val="17"/>
        </w:rPr>
      </w:pPr>
    </w:p>
    <w:p w:rsidR="00362B5E" w:rsidRPr="00362B5E" w:rsidRDefault="00362B5E" w:rsidP="00362B5E">
      <w:pPr>
        <w:spacing w:before="80" w:line="250" w:lineRule="exact"/>
        <w:ind w:left="709"/>
        <w:jc w:val="both"/>
        <w:rPr>
          <w:rFonts w:ascii="Arial" w:eastAsia="Calibri" w:hAnsi="Arial" w:cs="Arial"/>
          <w:spacing w:val="-1"/>
          <w:sz w:val="17"/>
          <w:szCs w:val="17"/>
        </w:rPr>
      </w:pPr>
      <w:r w:rsidRPr="00362B5E">
        <w:rPr>
          <w:rFonts w:ascii="Arial" w:eastAsia="Calibri" w:hAnsi="Arial" w:cs="Arial"/>
          <w:spacing w:val="-1"/>
          <w:sz w:val="17"/>
          <w:szCs w:val="17"/>
        </w:rPr>
        <w:t>El incremento en Fideicomisos, Mandatos y Contratos Análogos se debe a la reincorporación de Fideicomisos</w:t>
      </w:r>
      <w:r>
        <w:rPr>
          <w:rFonts w:ascii="Arial" w:eastAsia="Calibri" w:hAnsi="Arial" w:cs="Arial"/>
          <w:spacing w:val="-1"/>
          <w:sz w:val="17"/>
          <w:szCs w:val="17"/>
        </w:rPr>
        <w:t xml:space="preserve"> al Poder Ejecutivo</w:t>
      </w:r>
      <w:r w:rsidRPr="00362B5E">
        <w:rPr>
          <w:rFonts w:ascii="Arial" w:eastAsia="Calibri" w:hAnsi="Arial" w:cs="Arial"/>
          <w:spacing w:val="-1"/>
          <w:sz w:val="17"/>
          <w:szCs w:val="17"/>
        </w:rPr>
        <w:t>.</w:t>
      </w:r>
    </w:p>
    <w:p w:rsidR="00362B5E" w:rsidRDefault="00362B5E" w:rsidP="00362B5E">
      <w:pPr>
        <w:spacing w:before="80" w:line="250" w:lineRule="exact"/>
        <w:ind w:left="709"/>
        <w:jc w:val="both"/>
        <w:rPr>
          <w:rFonts w:ascii="Arial" w:eastAsia="Calibri" w:hAnsi="Arial" w:cs="Arial"/>
          <w:spacing w:val="-1"/>
          <w:sz w:val="17"/>
          <w:szCs w:val="17"/>
        </w:rPr>
      </w:pPr>
      <w:r w:rsidRPr="00362B5E">
        <w:rPr>
          <w:rFonts w:ascii="Arial" w:eastAsia="Calibri" w:hAnsi="Arial" w:cs="Arial"/>
          <w:spacing w:val="-1"/>
          <w:sz w:val="17"/>
          <w:szCs w:val="17"/>
        </w:rPr>
        <w:t xml:space="preserve">El aumento en Participaciones y Aportaciones de Capital obedece principalmente a la </w:t>
      </w:r>
      <w:r w:rsidR="00F8103C">
        <w:rPr>
          <w:rFonts w:ascii="Arial" w:eastAsia="Calibri" w:hAnsi="Arial" w:cs="Arial"/>
          <w:spacing w:val="-1"/>
          <w:sz w:val="17"/>
          <w:szCs w:val="17"/>
        </w:rPr>
        <w:t>actualiza</w:t>
      </w:r>
      <w:r w:rsidRPr="00362B5E">
        <w:rPr>
          <w:rFonts w:ascii="Arial" w:eastAsia="Calibri" w:hAnsi="Arial" w:cs="Arial"/>
          <w:spacing w:val="-1"/>
          <w:sz w:val="17"/>
          <w:szCs w:val="17"/>
        </w:rPr>
        <w:t>ción de la Participación del Poder Ejecutivo en el Patrimonio de las Entidades Paraestatales.</w:t>
      </w:r>
    </w:p>
    <w:p w:rsidR="00362B5E" w:rsidRDefault="00362B5E" w:rsidP="00000A24">
      <w:pPr>
        <w:spacing w:before="80" w:line="250" w:lineRule="exact"/>
        <w:ind w:left="709"/>
        <w:jc w:val="both"/>
        <w:rPr>
          <w:rFonts w:ascii="Arial" w:eastAsia="Calibri" w:hAnsi="Arial" w:cs="Arial"/>
          <w:spacing w:val="-1"/>
          <w:sz w:val="17"/>
          <w:szCs w:val="17"/>
        </w:rPr>
      </w:pPr>
    </w:p>
    <w:p w:rsidR="001C4948" w:rsidRDefault="001C4948" w:rsidP="001C4948">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El cual está distribuido de la siguiente manera:</w:t>
      </w:r>
    </w:p>
    <w:p w:rsidR="001C4948" w:rsidRPr="002D70DA" w:rsidRDefault="001C4948" w:rsidP="001C4948">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1C4948" w:rsidRPr="002D70DA" w:rsidTr="007F4D8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4948" w:rsidRPr="002D70DA" w:rsidRDefault="001C4948" w:rsidP="00F338A3">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1C4948"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1C4948"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2019</w:t>
            </w:r>
          </w:p>
        </w:tc>
      </w:tr>
      <w:tr w:rsidR="00F8103C" w:rsidRPr="002D70DA" w:rsidTr="007F4D8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8103C" w:rsidRPr="00C34218" w:rsidRDefault="00F8103C" w:rsidP="00F8103C">
            <w:pPr>
              <w:rPr>
                <w:rFonts w:ascii="Arial" w:hAnsi="Arial" w:cs="Arial"/>
                <w:b/>
                <w:sz w:val="17"/>
                <w:szCs w:val="17"/>
              </w:rPr>
            </w:pPr>
            <w:r w:rsidRPr="00C34218">
              <w:rPr>
                <w:rFonts w:ascii="Arial" w:hAnsi="Arial" w:cs="Arial"/>
                <w:b/>
                <w:sz w:val="17"/>
                <w:szCs w:val="17"/>
              </w:rPr>
              <w:t>Poder Ejecutivo</w:t>
            </w:r>
          </w:p>
        </w:tc>
        <w:tc>
          <w:tcPr>
            <w:tcW w:w="2180" w:type="dxa"/>
            <w:tcBorders>
              <w:top w:val="single" w:sz="4" w:space="0" w:color="auto"/>
              <w:left w:val="nil"/>
              <w:bottom w:val="single" w:sz="4" w:space="0" w:color="auto"/>
              <w:right w:val="single" w:sz="4" w:space="0" w:color="auto"/>
            </w:tcBorders>
            <w:shd w:val="clear" w:color="auto" w:fill="auto"/>
          </w:tcPr>
          <w:p w:rsidR="00F8103C" w:rsidRPr="00F8103C" w:rsidRDefault="00B3687A" w:rsidP="00F8103C">
            <w:pPr>
              <w:jc w:val="right"/>
              <w:rPr>
                <w:rFonts w:ascii="Arial" w:hAnsi="Arial" w:cs="Arial"/>
                <w:b/>
                <w:sz w:val="17"/>
                <w:szCs w:val="17"/>
              </w:rPr>
            </w:pPr>
            <w:r w:rsidRPr="00B3687A">
              <w:rPr>
                <w:rFonts w:ascii="Arial" w:hAnsi="Arial" w:cs="Arial"/>
                <w:b/>
                <w:sz w:val="17"/>
                <w:szCs w:val="17"/>
              </w:rPr>
              <w:t>26,113,959,678</w:t>
            </w:r>
          </w:p>
        </w:tc>
        <w:tc>
          <w:tcPr>
            <w:tcW w:w="2180" w:type="dxa"/>
            <w:tcBorders>
              <w:top w:val="single" w:sz="4" w:space="0" w:color="auto"/>
              <w:left w:val="nil"/>
              <w:bottom w:val="single" w:sz="4" w:space="0" w:color="auto"/>
              <w:right w:val="single" w:sz="4" w:space="0" w:color="auto"/>
            </w:tcBorders>
            <w:shd w:val="clear" w:color="auto" w:fill="auto"/>
          </w:tcPr>
          <w:p w:rsidR="00F8103C" w:rsidRPr="00F8103C" w:rsidRDefault="00B3687A" w:rsidP="00F8103C">
            <w:pPr>
              <w:jc w:val="right"/>
              <w:rPr>
                <w:rFonts w:ascii="Arial" w:hAnsi="Arial" w:cs="Arial"/>
                <w:b/>
                <w:sz w:val="17"/>
                <w:szCs w:val="17"/>
              </w:rPr>
            </w:pPr>
            <w:r w:rsidRPr="00B3687A">
              <w:rPr>
                <w:rFonts w:ascii="Arial" w:hAnsi="Arial" w:cs="Arial"/>
                <w:b/>
                <w:sz w:val="17"/>
                <w:szCs w:val="17"/>
              </w:rPr>
              <w:t>25,498,652,117</w:t>
            </w:r>
          </w:p>
        </w:tc>
      </w:tr>
    </w:tbl>
    <w:p w:rsidR="00E56DC9" w:rsidRDefault="00E56DC9" w:rsidP="00000A24">
      <w:pPr>
        <w:spacing w:before="80" w:line="250" w:lineRule="exact"/>
        <w:ind w:left="709"/>
        <w:jc w:val="both"/>
        <w:rPr>
          <w:rFonts w:ascii="Arial" w:eastAsia="Calibri" w:hAnsi="Arial" w:cs="Arial"/>
          <w:spacing w:val="-1"/>
          <w:sz w:val="17"/>
          <w:szCs w:val="17"/>
        </w:rPr>
      </w:pPr>
    </w:p>
    <w:p w:rsidR="00E56DC9" w:rsidRDefault="00E56DC9" w:rsidP="00000A24">
      <w:pPr>
        <w:spacing w:before="80" w:line="250" w:lineRule="exact"/>
        <w:ind w:left="709"/>
        <w:jc w:val="both"/>
        <w:rPr>
          <w:rFonts w:ascii="Arial" w:eastAsia="Calibri" w:hAnsi="Arial" w:cs="Arial"/>
          <w:spacing w:val="-1"/>
          <w:sz w:val="17"/>
          <w:szCs w:val="17"/>
        </w:rPr>
      </w:pPr>
    </w:p>
    <w:p w:rsidR="008B1298" w:rsidRPr="002D70DA" w:rsidRDefault="008B1298" w:rsidP="008B1298">
      <w:pPr>
        <w:pStyle w:val="Prrafodelista"/>
        <w:numPr>
          <w:ilvl w:val="0"/>
          <w:numId w:val="8"/>
        </w:numPr>
        <w:spacing w:before="80" w:line="250" w:lineRule="exact"/>
        <w:contextualSpacing w:val="0"/>
        <w:jc w:val="both"/>
        <w:rPr>
          <w:rFonts w:ascii="Arial" w:eastAsia="Calibri" w:hAnsi="Arial" w:cs="Arial"/>
          <w:b/>
          <w:spacing w:val="-1"/>
          <w:sz w:val="17"/>
          <w:szCs w:val="17"/>
        </w:rPr>
      </w:pPr>
      <w:r w:rsidRPr="008B1298">
        <w:rPr>
          <w:rFonts w:ascii="Arial" w:eastAsia="Calibri" w:hAnsi="Arial" w:cs="Arial"/>
          <w:b/>
          <w:spacing w:val="-1"/>
          <w:sz w:val="17"/>
          <w:szCs w:val="17"/>
        </w:rPr>
        <w:t>Derechos a Recibir Efecti</w:t>
      </w:r>
      <w:r>
        <w:rPr>
          <w:rFonts w:ascii="Arial" w:eastAsia="Calibri" w:hAnsi="Arial" w:cs="Arial"/>
          <w:b/>
          <w:spacing w:val="-1"/>
          <w:sz w:val="17"/>
          <w:szCs w:val="17"/>
        </w:rPr>
        <w:t>vo o Equivalentes a Largo Plazo</w:t>
      </w:r>
      <w:r w:rsidRPr="002D70DA">
        <w:rPr>
          <w:rFonts w:ascii="Arial" w:eastAsia="Calibri" w:hAnsi="Arial" w:cs="Arial"/>
          <w:b/>
          <w:spacing w:val="-1"/>
          <w:sz w:val="17"/>
          <w:szCs w:val="17"/>
        </w:rPr>
        <w:t>:</w:t>
      </w:r>
    </w:p>
    <w:p w:rsidR="008B1298" w:rsidRDefault="008B1298" w:rsidP="008B1298">
      <w:pPr>
        <w:spacing w:before="80" w:line="250" w:lineRule="exact"/>
        <w:ind w:left="709"/>
        <w:jc w:val="both"/>
        <w:rPr>
          <w:rFonts w:ascii="Arial" w:eastAsia="Calibri" w:hAnsi="Arial" w:cs="Arial"/>
          <w:spacing w:val="-1"/>
          <w:sz w:val="17"/>
          <w:szCs w:val="17"/>
        </w:rPr>
      </w:pPr>
      <w:r w:rsidRPr="00B467A0">
        <w:rPr>
          <w:rFonts w:ascii="Arial" w:eastAsia="Calibri" w:hAnsi="Arial" w:cs="Arial"/>
          <w:spacing w:val="-1"/>
          <w:sz w:val="17"/>
          <w:szCs w:val="17"/>
        </w:rPr>
        <w:t xml:space="preserve">En lo que respecta al rubro </w:t>
      </w:r>
      <w:r>
        <w:rPr>
          <w:rFonts w:ascii="Arial" w:eastAsia="Calibri" w:hAnsi="Arial" w:cs="Arial"/>
          <w:spacing w:val="-1"/>
          <w:sz w:val="17"/>
          <w:szCs w:val="17"/>
        </w:rPr>
        <w:t xml:space="preserve">de </w:t>
      </w:r>
      <w:r w:rsidRPr="008B1298">
        <w:rPr>
          <w:rFonts w:ascii="Arial" w:eastAsia="Calibri" w:hAnsi="Arial" w:cs="Arial"/>
          <w:spacing w:val="-1"/>
          <w:sz w:val="17"/>
          <w:szCs w:val="17"/>
        </w:rPr>
        <w:t>Derechos a Recibir Efecti</w:t>
      </w:r>
      <w:r>
        <w:rPr>
          <w:rFonts w:ascii="Arial" w:eastAsia="Calibri" w:hAnsi="Arial" w:cs="Arial"/>
          <w:spacing w:val="-1"/>
          <w:sz w:val="17"/>
          <w:szCs w:val="17"/>
        </w:rPr>
        <w:t xml:space="preserve">vo o Equivalentes a Largo Plazo </w:t>
      </w:r>
      <w:r w:rsidRPr="00B467A0">
        <w:rPr>
          <w:rFonts w:ascii="Arial" w:eastAsia="Calibri" w:hAnsi="Arial" w:cs="Arial"/>
          <w:spacing w:val="-1"/>
          <w:sz w:val="17"/>
          <w:szCs w:val="17"/>
        </w:rPr>
        <w:t>se informa</w:t>
      </w:r>
      <w:r>
        <w:rPr>
          <w:rFonts w:ascii="Arial" w:eastAsia="Calibri" w:hAnsi="Arial" w:cs="Arial"/>
          <w:spacing w:val="-1"/>
          <w:sz w:val="17"/>
          <w:szCs w:val="17"/>
        </w:rPr>
        <w:t xml:space="preserve"> que el saldo </w:t>
      </w:r>
      <w:r w:rsidRPr="00B467A0">
        <w:rPr>
          <w:rFonts w:ascii="Arial" w:eastAsia="Calibri" w:hAnsi="Arial" w:cs="Arial"/>
          <w:spacing w:val="-1"/>
          <w:sz w:val="17"/>
          <w:szCs w:val="17"/>
        </w:rPr>
        <w:t xml:space="preserve">al cierre del ejercicio del </w:t>
      </w:r>
      <w:r w:rsidR="00FD7D84">
        <w:rPr>
          <w:rFonts w:ascii="Arial" w:eastAsia="Calibri" w:hAnsi="Arial" w:cs="Arial"/>
          <w:spacing w:val="-1"/>
          <w:sz w:val="17"/>
          <w:szCs w:val="17"/>
        </w:rPr>
        <w:t>2020</w:t>
      </w:r>
      <w:r>
        <w:rPr>
          <w:rFonts w:ascii="Arial" w:eastAsia="Calibri" w:hAnsi="Arial" w:cs="Arial"/>
          <w:spacing w:val="-1"/>
          <w:sz w:val="17"/>
          <w:szCs w:val="17"/>
        </w:rPr>
        <w:t xml:space="preserve"> se integra por:</w:t>
      </w:r>
    </w:p>
    <w:p w:rsidR="008B1298" w:rsidRPr="00ED5AC6" w:rsidRDefault="008B1298" w:rsidP="008B1298">
      <w:pPr>
        <w:pStyle w:val="Prrafodelista"/>
        <w:autoSpaceDE w:val="0"/>
        <w:autoSpaceDN w:val="0"/>
        <w:adjustRightInd w:val="0"/>
        <w:spacing w:before="240" w:after="120"/>
        <w:jc w:val="center"/>
        <w:rPr>
          <w:rFonts w:ascii="Arial" w:eastAsia="Calibri" w:hAnsi="Arial" w:cs="Arial"/>
          <w:b/>
          <w:spacing w:val="-1"/>
          <w:sz w:val="17"/>
          <w:szCs w:val="17"/>
        </w:rPr>
      </w:pPr>
      <w:r w:rsidRPr="00ED5AC6">
        <w:rPr>
          <w:rFonts w:ascii="Arial" w:eastAsia="Calibri" w:hAnsi="Arial" w:cs="Arial"/>
          <w:b/>
          <w:spacing w:val="-1"/>
          <w:sz w:val="17"/>
          <w:szCs w:val="17"/>
        </w:rPr>
        <w:t>(Pesos)</w:t>
      </w:r>
    </w:p>
    <w:tbl>
      <w:tblPr>
        <w:tblW w:w="9265" w:type="dxa"/>
        <w:jc w:val="center"/>
        <w:tblCellMar>
          <w:left w:w="70" w:type="dxa"/>
          <w:right w:w="70" w:type="dxa"/>
        </w:tblCellMar>
        <w:tblLook w:val="04A0" w:firstRow="1" w:lastRow="0" w:firstColumn="1" w:lastColumn="0" w:noHBand="0" w:noVBand="1"/>
        <w:tblDescription w:val="monto"/>
      </w:tblPr>
      <w:tblGrid>
        <w:gridCol w:w="4903"/>
        <w:gridCol w:w="2181"/>
        <w:gridCol w:w="2181"/>
      </w:tblGrid>
      <w:tr w:rsidR="008B1298" w:rsidRPr="002D70DA" w:rsidTr="00453143">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B1298" w:rsidRPr="002D70DA" w:rsidRDefault="008B1298" w:rsidP="00C34218">
            <w:pPr>
              <w:jc w:val="center"/>
              <w:rPr>
                <w:rFonts w:ascii="Arial" w:hAnsi="Arial" w:cs="Arial"/>
                <w:b/>
                <w:bCs/>
                <w:color w:val="000000"/>
                <w:sz w:val="17"/>
                <w:szCs w:val="17"/>
              </w:rPr>
            </w:pPr>
            <w:r>
              <w:rPr>
                <w:rFonts w:ascii="Arial" w:hAnsi="Arial" w:cs="Arial"/>
                <w:b/>
                <w:bCs/>
                <w:color w:val="000000"/>
                <w:sz w:val="17"/>
                <w:szCs w:val="17"/>
              </w:rPr>
              <w:t>Concepto</w:t>
            </w:r>
          </w:p>
        </w:tc>
        <w:tc>
          <w:tcPr>
            <w:tcW w:w="218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8B1298" w:rsidRPr="002D70DA" w:rsidRDefault="00FD7D84" w:rsidP="00C34218">
            <w:pPr>
              <w:jc w:val="center"/>
              <w:rPr>
                <w:rFonts w:ascii="Arial" w:hAnsi="Arial" w:cs="Arial"/>
                <w:b/>
                <w:bCs/>
                <w:color w:val="000000"/>
                <w:sz w:val="17"/>
                <w:szCs w:val="17"/>
              </w:rPr>
            </w:pPr>
            <w:r>
              <w:rPr>
                <w:rFonts w:ascii="Arial" w:hAnsi="Arial" w:cs="Arial"/>
                <w:b/>
                <w:bCs/>
                <w:color w:val="000000"/>
                <w:sz w:val="17"/>
                <w:szCs w:val="17"/>
              </w:rPr>
              <w:t>2020</w:t>
            </w:r>
          </w:p>
        </w:tc>
        <w:tc>
          <w:tcPr>
            <w:tcW w:w="218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8B1298" w:rsidRPr="002D70DA" w:rsidRDefault="00FD7D84" w:rsidP="00C34218">
            <w:pPr>
              <w:jc w:val="center"/>
              <w:rPr>
                <w:rFonts w:ascii="Arial" w:hAnsi="Arial" w:cs="Arial"/>
                <w:b/>
                <w:bCs/>
                <w:color w:val="000000"/>
                <w:sz w:val="17"/>
                <w:szCs w:val="17"/>
              </w:rPr>
            </w:pPr>
            <w:r>
              <w:rPr>
                <w:rFonts w:ascii="Arial" w:hAnsi="Arial" w:cs="Arial"/>
                <w:b/>
                <w:bCs/>
                <w:color w:val="000000"/>
                <w:sz w:val="17"/>
                <w:szCs w:val="17"/>
              </w:rPr>
              <w:t>2019</w:t>
            </w:r>
          </w:p>
        </w:tc>
      </w:tr>
      <w:tr w:rsidR="00C60EB5" w:rsidRPr="002D70DA" w:rsidTr="00453143">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auto"/>
          </w:tcPr>
          <w:p w:rsidR="00C60EB5" w:rsidRPr="008B1298" w:rsidRDefault="00C60EB5" w:rsidP="00C60EB5">
            <w:pPr>
              <w:rPr>
                <w:rFonts w:ascii="Arial" w:hAnsi="Arial" w:cs="Arial"/>
                <w:sz w:val="17"/>
                <w:szCs w:val="17"/>
              </w:rPr>
            </w:pPr>
            <w:r w:rsidRPr="00453143">
              <w:rPr>
                <w:rFonts w:ascii="Arial" w:hAnsi="Arial" w:cs="Arial"/>
                <w:sz w:val="17"/>
                <w:szCs w:val="17"/>
              </w:rPr>
              <w:t>Otros Derechos a Recibir Efectivo o Equivalentes a Largo Plazo</w:t>
            </w:r>
          </w:p>
        </w:tc>
        <w:tc>
          <w:tcPr>
            <w:tcW w:w="2181" w:type="dxa"/>
            <w:tcBorders>
              <w:top w:val="single" w:sz="4" w:space="0" w:color="auto"/>
              <w:left w:val="nil"/>
              <w:bottom w:val="single" w:sz="4" w:space="0" w:color="auto"/>
              <w:right w:val="single" w:sz="4" w:space="0" w:color="auto"/>
            </w:tcBorders>
            <w:shd w:val="clear" w:color="auto" w:fill="auto"/>
          </w:tcPr>
          <w:p w:rsidR="00C60EB5" w:rsidRPr="00C60EB5" w:rsidRDefault="00C60EB5" w:rsidP="00C60EB5">
            <w:pPr>
              <w:jc w:val="right"/>
              <w:rPr>
                <w:rFonts w:ascii="Arial" w:hAnsi="Arial" w:cs="Arial"/>
                <w:b/>
                <w:sz w:val="17"/>
                <w:szCs w:val="17"/>
              </w:rPr>
            </w:pPr>
            <w:r w:rsidRPr="00C60EB5">
              <w:rPr>
                <w:rFonts w:ascii="Arial" w:hAnsi="Arial" w:cs="Arial"/>
                <w:b/>
                <w:sz w:val="17"/>
                <w:szCs w:val="17"/>
              </w:rPr>
              <w:t xml:space="preserve"> 117,200 </w:t>
            </w:r>
          </w:p>
        </w:tc>
        <w:tc>
          <w:tcPr>
            <w:tcW w:w="2181" w:type="dxa"/>
            <w:tcBorders>
              <w:top w:val="single" w:sz="4" w:space="0" w:color="auto"/>
              <w:left w:val="nil"/>
              <w:bottom w:val="single" w:sz="4" w:space="0" w:color="auto"/>
              <w:right w:val="single" w:sz="4" w:space="0" w:color="auto"/>
            </w:tcBorders>
            <w:shd w:val="clear" w:color="auto" w:fill="auto"/>
          </w:tcPr>
          <w:p w:rsidR="00C60EB5" w:rsidRPr="00C60EB5" w:rsidRDefault="00DE6D76" w:rsidP="00C60EB5">
            <w:pPr>
              <w:jc w:val="right"/>
              <w:rPr>
                <w:rFonts w:ascii="Arial" w:hAnsi="Arial" w:cs="Arial"/>
                <w:b/>
                <w:sz w:val="17"/>
                <w:szCs w:val="17"/>
              </w:rPr>
            </w:pPr>
            <w:r w:rsidRPr="00DE6D76">
              <w:rPr>
                <w:rFonts w:ascii="Arial" w:hAnsi="Arial" w:cs="Arial"/>
                <w:b/>
                <w:sz w:val="17"/>
                <w:szCs w:val="17"/>
              </w:rPr>
              <w:t>117,200</w:t>
            </w:r>
          </w:p>
        </w:tc>
      </w:tr>
    </w:tbl>
    <w:p w:rsidR="00186E15" w:rsidRDefault="00186E15" w:rsidP="00C60EB5">
      <w:pPr>
        <w:spacing w:before="80" w:line="250" w:lineRule="exact"/>
        <w:ind w:left="709"/>
        <w:jc w:val="both"/>
        <w:rPr>
          <w:rFonts w:ascii="Arial" w:eastAsia="Calibri" w:hAnsi="Arial" w:cs="Arial"/>
          <w:spacing w:val="-1"/>
          <w:sz w:val="17"/>
          <w:szCs w:val="17"/>
        </w:rPr>
      </w:pPr>
    </w:p>
    <w:p w:rsidR="00DE6D76" w:rsidRDefault="00DE6D76" w:rsidP="008B1298">
      <w:pPr>
        <w:autoSpaceDE w:val="0"/>
        <w:autoSpaceDN w:val="0"/>
        <w:adjustRightInd w:val="0"/>
        <w:spacing w:before="240" w:after="120"/>
        <w:ind w:left="709"/>
        <w:rPr>
          <w:rFonts w:ascii="Arial" w:eastAsia="Calibri" w:hAnsi="Arial" w:cs="Arial"/>
          <w:spacing w:val="-1"/>
          <w:sz w:val="17"/>
          <w:szCs w:val="17"/>
        </w:rPr>
      </w:pPr>
    </w:p>
    <w:p w:rsidR="00DE6D76" w:rsidRDefault="00DE6D76" w:rsidP="008B1298">
      <w:pPr>
        <w:autoSpaceDE w:val="0"/>
        <w:autoSpaceDN w:val="0"/>
        <w:adjustRightInd w:val="0"/>
        <w:spacing w:before="240" w:after="120"/>
        <w:ind w:left="709"/>
        <w:rPr>
          <w:rFonts w:ascii="Arial" w:eastAsia="Calibri" w:hAnsi="Arial" w:cs="Arial"/>
          <w:spacing w:val="-1"/>
          <w:sz w:val="17"/>
          <w:szCs w:val="17"/>
        </w:rPr>
      </w:pPr>
    </w:p>
    <w:p w:rsidR="00DE6D76" w:rsidRDefault="00DE6D76" w:rsidP="008B1298">
      <w:pPr>
        <w:autoSpaceDE w:val="0"/>
        <w:autoSpaceDN w:val="0"/>
        <w:adjustRightInd w:val="0"/>
        <w:spacing w:before="240" w:after="120"/>
        <w:ind w:left="709"/>
        <w:rPr>
          <w:rFonts w:ascii="Arial" w:eastAsia="Calibri" w:hAnsi="Arial" w:cs="Arial"/>
          <w:spacing w:val="-1"/>
          <w:sz w:val="17"/>
          <w:szCs w:val="17"/>
        </w:rPr>
      </w:pPr>
    </w:p>
    <w:p w:rsidR="008B1298" w:rsidRDefault="008B1298" w:rsidP="008B1298">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lastRenderedPageBreak/>
        <w:t>El cual está distribuido de la siguiente manera:</w:t>
      </w:r>
    </w:p>
    <w:p w:rsidR="008B1298" w:rsidRDefault="00186E15" w:rsidP="008B1298">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 xml:space="preserve"> </w:t>
      </w:r>
      <w:r w:rsidR="008B1298"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C60EB5" w:rsidRPr="002D70DA" w:rsidTr="00DE6D7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60EB5" w:rsidRPr="002D70DA" w:rsidRDefault="00C60EB5" w:rsidP="000B503E">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60EB5" w:rsidRPr="002D70DA" w:rsidRDefault="00FD7D84" w:rsidP="000B503E">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60EB5" w:rsidRPr="002D70DA" w:rsidRDefault="00FD7D84" w:rsidP="000B503E">
            <w:pPr>
              <w:jc w:val="center"/>
              <w:rPr>
                <w:rFonts w:ascii="Arial" w:hAnsi="Arial" w:cs="Arial"/>
                <w:b/>
                <w:bCs/>
                <w:color w:val="000000"/>
                <w:sz w:val="17"/>
                <w:szCs w:val="17"/>
              </w:rPr>
            </w:pPr>
            <w:r>
              <w:rPr>
                <w:rFonts w:ascii="Arial" w:hAnsi="Arial" w:cs="Arial"/>
                <w:b/>
                <w:bCs/>
                <w:color w:val="000000"/>
                <w:sz w:val="17"/>
                <w:szCs w:val="17"/>
              </w:rPr>
              <w:t>2019</w:t>
            </w:r>
          </w:p>
        </w:tc>
      </w:tr>
      <w:tr w:rsidR="00DE6D76" w:rsidRPr="002D70DA" w:rsidTr="00DE6D7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E6D76" w:rsidRPr="00C34218" w:rsidRDefault="00DE6D76" w:rsidP="00DE6D76">
            <w:pPr>
              <w:rPr>
                <w:rFonts w:ascii="Arial" w:hAnsi="Arial" w:cs="Arial"/>
                <w:b/>
                <w:sz w:val="17"/>
                <w:szCs w:val="17"/>
              </w:rPr>
            </w:pPr>
            <w:r w:rsidRPr="00C34218">
              <w:rPr>
                <w:rFonts w:ascii="Arial" w:hAnsi="Arial" w:cs="Arial"/>
                <w:b/>
                <w:sz w:val="17"/>
                <w:szCs w:val="17"/>
              </w:rPr>
              <w:t>Órganos Autónomos</w:t>
            </w:r>
          </w:p>
        </w:tc>
        <w:tc>
          <w:tcPr>
            <w:tcW w:w="2180" w:type="dxa"/>
            <w:tcBorders>
              <w:top w:val="single" w:sz="4" w:space="0" w:color="auto"/>
              <w:left w:val="nil"/>
              <w:bottom w:val="single" w:sz="4" w:space="0" w:color="auto"/>
              <w:right w:val="single" w:sz="4" w:space="0" w:color="auto"/>
            </w:tcBorders>
            <w:shd w:val="clear" w:color="auto" w:fill="auto"/>
          </w:tcPr>
          <w:p w:rsidR="00DE6D76" w:rsidRPr="0085799D" w:rsidRDefault="00DE6D76" w:rsidP="00DE6D76">
            <w:pPr>
              <w:jc w:val="right"/>
              <w:rPr>
                <w:rFonts w:ascii="Arial" w:hAnsi="Arial" w:cs="Arial"/>
                <w:b/>
                <w:sz w:val="17"/>
                <w:szCs w:val="17"/>
              </w:rPr>
            </w:pPr>
            <w:r w:rsidRPr="0085799D">
              <w:rPr>
                <w:rFonts w:ascii="Arial" w:hAnsi="Arial" w:cs="Arial"/>
                <w:b/>
                <w:sz w:val="17"/>
                <w:szCs w:val="17"/>
              </w:rPr>
              <w:t xml:space="preserve">117,200 </w:t>
            </w:r>
          </w:p>
        </w:tc>
        <w:tc>
          <w:tcPr>
            <w:tcW w:w="2180" w:type="dxa"/>
            <w:tcBorders>
              <w:top w:val="single" w:sz="4" w:space="0" w:color="auto"/>
              <w:left w:val="nil"/>
              <w:bottom w:val="single" w:sz="4" w:space="0" w:color="auto"/>
              <w:right w:val="single" w:sz="4" w:space="0" w:color="auto"/>
            </w:tcBorders>
            <w:shd w:val="clear" w:color="auto" w:fill="auto"/>
          </w:tcPr>
          <w:p w:rsidR="00DE6D76" w:rsidRPr="00DE6D76" w:rsidRDefault="00DE6D76" w:rsidP="00DE6D76">
            <w:pPr>
              <w:jc w:val="right"/>
              <w:rPr>
                <w:rFonts w:ascii="Arial" w:hAnsi="Arial" w:cs="Arial"/>
                <w:b/>
                <w:sz w:val="17"/>
                <w:szCs w:val="17"/>
              </w:rPr>
            </w:pPr>
            <w:r w:rsidRPr="00DE6D76">
              <w:rPr>
                <w:rFonts w:ascii="Arial" w:hAnsi="Arial" w:cs="Arial"/>
                <w:b/>
                <w:sz w:val="17"/>
                <w:szCs w:val="17"/>
              </w:rPr>
              <w:t xml:space="preserve">117,200 </w:t>
            </w:r>
          </w:p>
        </w:tc>
      </w:tr>
      <w:tr w:rsidR="00DE6D76" w:rsidRPr="002D70DA" w:rsidTr="00DE6D7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E6D76" w:rsidRPr="00560A6D" w:rsidRDefault="00DE6D76" w:rsidP="00DE6D76">
            <w:pPr>
              <w:ind w:left="497"/>
              <w:rPr>
                <w:rFonts w:ascii="Arial" w:hAnsi="Arial" w:cs="Arial"/>
                <w:sz w:val="17"/>
                <w:szCs w:val="17"/>
              </w:rPr>
            </w:pPr>
            <w:r w:rsidRPr="00C34218">
              <w:rPr>
                <w:rFonts w:ascii="Arial" w:hAnsi="Arial" w:cs="Arial"/>
                <w:sz w:val="17"/>
                <w:szCs w:val="17"/>
              </w:rPr>
              <w:t>Defensoría de los Derechos Humanos de Querétaro</w:t>
            </w:r>
          </w:p>
        </w:tc>
        <w:tc>
          <w:tcPr>
            <w:tcW w:w="2180" w:type="dxa"/>
            <w:tcBorders>
              <w:top w:val="single" w:sz="4" w:space="0" w:color="auto"/>
              <w:left w:val="nil"/>
              <w:bottom w:val="single" w:sz="4" w:space="0" w:color="auto"/>
              <w:right w:val="single" w:sz="4" w:space="0" w:color="auto"/>
            </w:tcBorders>
            <w:shd w:val="clear" w:color="auto" w:fill="auto"/>
          </w:tcPr>
          <w:p w:rsidR="00DE6D76" w:rsidRPr="00C60EB5" w:rsidRDefault="00DE6D76" w:rsidP="00DE6D76">
            <w:pPr>
              <w:jc w:val="right"/>
              <w:rPr>
                <w:rFonts w:ascii="Arial" w:hAnsi="Arial" w:cs="Arial"/>
                <w:sz w:val="17"/>
                <w:szCs w:val="17"/>
              </w:rPr>
            </w:pPr>
            <w:r w:rsidRPr="00C60EB5">
              <w:rPr>
                <w:rFonts w:ascii="Arial" w:hAnsi="Arial" w:cs="Arial"/>
                <w:sz w:val="17"/>
                <w:szCs w:val="17"/>
              </w:rPr>
              <w:t xml:space="preserve">117,200 </w:t>
            </w:r>
          </w:p>
        </w:tc>
        <w:tc>
          <w:tcPr>
            <w:tcW w:w="2180" w:type="dxa"/>
            <w:tcBorders>
              <w:top w:val="single" w:sz="4" w:space="0" w:color="auto"/>
              <w:left w:val="nil"/>
              <w:bottom w:val="single" w:sz="4" w:space="0" w:color="auto"/>
              <w:right w:val="single" w:sz="4" w:space="0" w:color="auto"/>
            </w:tcBorders>
            <w:shd w:val="clear" w:color="auto" w:fill="auto"/>
          </w:tcPr>
          <w:p w:rsidR="00DE6D76" w:rsidRPr="00DE6D76" w:rsidRDefault="00DE6D76" w:rsidP="00DE6D76">
            <w:pPr>
              <w:jc w:val="right"/>
              <w:rPr>
                <w:rFonts w:ascii="Arial" w:hAnsi="Arial" w:cs="Arial"/>
                <w:sz w:val="17"/>
                <w:szCs w:val="17"/>
              </w:rPr>
            </w:pPr>
            <w:r w:rsidRPr="00DE6D76">
              <w:rPr>
                <w:rFonts w:ascii="Arial" w:hAnsi="Arial" w:cs="Arial"/>
                <w:sz w:val="17"/>
                <w:szCs w:val="17"/>
              </w:rPr>
              <w:t xml:space="preserve">117,200 </w:t>
            </w:r>
          </w:p>
        </w:tc>
      </w:tr>
    </w:tbl>
    <w:p w:rsidR="00C60EB5" w:rsidRDefault="00C60EB5" w:rsidP="008B1298">
      <w:pPr>
        <w:autoSpaceDE w:val="0"/>
        <w:autoSpaceDN w:val="0"/>
        <w:adjustRightInd w:val="0"/>
        <w:spacing w:before="240" w:after="120"/>
        <w:jc w:val="center"/>
        <w:rPr>
          <w:rFonts w:ascii="Arial" w:eastAsia="Calibri" w:hAnsi="Arial" w:cs="Arial"/>
          <w:b/>
          <w:spacing w:val="-1"/>
          <w:sz w:val="17"/>
          <w:szCs w:val="17"/>
        </w:rPr>
      </w:pPr>
    </w:p>
    <w:p w:rsidR="00186E15" w:rsidRPr="002D70DA" w:rsidRDefault="00186E15" w:rsidP="008B1298">
      <w:pPr>
        <w:autoSpaceDE w:val="0"/>
        <w:autoSpaceDN w:val="0"/>
        <w:adjustRightInd w:val="0"/>
        <w:spacing w:before="240" w:after="120"/>
        <w:jc w:val="center"/>
        <w:rPr>
          <w:rFonts w:ascii="Arial" w:eastAsia="Calibri" w:hAnsi="Arial" w:cs="Arial"/>
          <w:b/>
          <w:spacing w:val="-1"/>
          <w:sz w:val="17"/>
          <w:szCs w:val="17"/>
        </w:rPr>
      </w:pPr>
    </w:p>
    <w:p w:rsidR="007A5CAF" w:rsidRPr="002D70DA" w:rsidRDefault="00A84762" w:rsidP="00A84762">
      <w:pPr>
        <w:pStyle w:val="Prrafodelista"/>
        <w:numPr>
          <w:ilvl w:val="0"/>
          <w:numId w:val="8"/>
        </w:numPr>
        <w:spacing w:before="80" w:line="250" w:lineRule="exact"/>
        <w:contextualSpacing w:val="0"/>
        <w:jc w:val="both"/>
        <w:rPr>
          <w:rFonts w:ascii="Arial" w:eastAsia="Calibri" w:hAnsi="Arial" w:cs="Arial"/>
          <w:b/>
          <w:spacing w:val="-1"/>
          <w:sz w:val="17"/>
          <w:szCs w:val="17"/>
        </w:rPr>
      </w:pPr>
      <w:r w:rsidRPr="00A84762">
        <w:rPr>
          <w:rFonts w:ascii="Arial" w:eastAsia="Calibri" w:hAnsi="Arial" w:cs="Arial"/>
          <w:b/>
          <w:spacing w:val="-1"/>
          <w:sz w:val="17"/>
          <w:szCs w:val="17"/>
        </w:rPr>
        <w:t>Bienes Inmuebles, Infraestruct</w:t>
      </w:r>
      <w:r>
        <w:rPr>
          <w:rFonts w:ascii="Arial" w:eastAsia="Calibri" w:hAnsi="Arial" w:cs="Arial"/>
          <w:b/>
          <w:spacing w:val="-1"/>
          <w:sz w:val="17"/>
          <w:szCs w:val="17"/>
        </w:rPr>
        <w:t>ura y Construcciones en Proceso</w:t>
      </w:r>
    </w:p>
    <w:p w:rsidR="00021A85" w:rsidRDefault="00021A85" w:rsidP="00E856ED">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S</w:t>
      </w:r>
      <w:r w:rsidRPr="00785016">
        <w:rPr>
          <w:rFonts w:ascii="Arial" w:eastAsia="Calibri" w:hAnsi="Arial" w:cs="Arial"/>
          <w:spacing w:val="-1"/>
          <w:sz w:val="17"/>
          <w:szCs w:val="17"/>
        </w:rPr>
        <w:t xml:space="preserve">e informa la integración </w:t>
      </w:r>
      <w:r>
        <w:rPr>
          <w:rFonts w:ascii="Arial" w:eastAsia="Calibri" w:hAnsi="Arial" w:cs="Arial"/>
          <w:spacing w:val="-1"/>
          <w:sz w:val="17"/>
          <w:szCs w:val="17"/>
        </w:rPr>
        <w:t xml:space="preserve">del </w:t>
      </w:r>
      <w:r w:rsidRPr="00021A85">
        <w:rPr>
          <w:rFonts w:ascii="Arial" w:eastAsia="Calibri" w:hAnsi="Arial" w:cs="Arial"/>
          <w:spacing w:val="-1"/>
          <w:sz w:val="17"/>
          <w:szCs w:val="17"/>
        </w:rPr>
        <w:t xml:space="preserve">saldo al 31 de diciembre del </w:t>
      </w:r>
      <w:r w:rsidR="00FD7D84">
        <w:rPr>
          <w:rFonts w:ascii="Arial" w:eastAsia="Calibri" w:hAnsi="Arial" w:cs="Arial"/>
          <w:spacing w:val="-1"/>
          <w:sz w:val="17"/>
          <w:szCs w:val="17"/>
        </w:rPr>
        <w:t>2020</w:t>
      </w:r>
      <w:r w:rsidRPr="00021A85">
        <w:rPr>
          <w:rFonts w:ascii="Arial" w:eastAsia="Calibri" w:hAnsi="Arial" w:cs="Arial"/>
          <w:spacing w:val="-1"/>
          <w:sz w:val="17"/>
          <w:szCs w:val="17"/>
        </w:rPr>
        <w:t xml:space="preserve"> de la cuenta </w:t>
      </w:r>
      <w:r w:rsidR="00A84762" w:rsidRPr="00A84762">
        <w:rPr>
          <w:rFonts w:ascii="Arial" w:eastAsia="Calibri" w:hAnsi="Arial" w:cs="Arial"/>
          <w:spacing w:val="-1"/>
          <w:sz w:val="17"/>
          <w:szCs w:val="17"/>
        </w:rPr>
        <w:t>Bienes Inmuebles, Infraestructura y Construcciones en Proceso</w:t>
      </w:r>
      <w:r w:rsidR="00A84762" w:rsidRPr="00A84762">
        <w:rPr>
          <w:rFonts w:ascii="Arial" w:eastAsia="Calibri" w:hAnsi="Arial" w:cs="Arial"/>
          <w:spacing w:val="-1"/>
          <w:sz w:val="17"/>
          <w:szCs w:val="17"/>
        </w:rPr>
        <w:tab/>
      </w:r>
    </w:p>
    <w:p w:rsidR="00021A85" w:rsidRPr="00785016" w:rsidRDefault="00021A85" w:rsidP="00021A85">
      <w:pPr>
        <w:autoSpaceDE w:val="0"/>
        <w:autoSpaceDN w:val="0"/>
        <w:adjustRightInd w:val="0"/>
        <w:spacing w:before="240" w:after="120"/>
        <w:ind w:left="360"/>
        <w:jc w:val="center"/>
        <w:rPr>
          <w:rFonts w:ascii="Arial" w:eastAsia="Calibri" w:hAnsi="Arial" w:cs="Arial"/>
          <w:b/>
          <w:spacing w:val="-1"/>
          <w:sz w:val="17"/>
          <w:szCs w:val="17"/>
        </w:rPr>
      </w:pPr>
      <w:r w:rsidRPr="00785016">
        <w:rPr>
          <w:rFonts w:ascii="Arial" w:eastAsia="Calibri" w:hAnsi="Arial" w:cs="Arial"/>
          <w:b/>
          <w:spacing w:val="-1"/>
          <w:sz w:val="17"/>
          <w:szCs w:val="17"/>
        </w:rPr>
        <w:t>(Pesos)</w:t>
      </w:r>
    </w:p>
    <w:tbl>
      <w:tblPr>
        <w:tblW w:w="9270" w:type="dxa"/>
        <w:jc w:val="center"/>
        <w:tblCellMar>
          <w:left w:w="70" w:type="dxa"/>
          <w:right w:w="70" w:type="dxa"/>
        </w:tblCellMar>
        <w:tblLook w:val="04A0" w:firstRow="1" w:lastRow="0" w:firstColumn="1" w:lastColumn="0" w:noHBand="0" w:noVBand="1"/>
        <w:tblDescription w:val="monto"/>
      </w:tblPr>
      <w:tblGrid>
        <w:gridCol w:w="4906"/>
        <w:gridCol w:w="2182"/>
        <w:gridCol w:w="2182"/>
      </w:tblGrid>
      <w:tr w:rsidR="00021A85" w:rsidRPr="002D70DA" w:rsidTr="00FE6425">
        <w:trPr>
          <w:trHeight w:val="240"/>
          <w:jc w:val="center"/>
        </w:trPr>
        <w:tc>
          <w:tcPr>
            <w:tcW w:w="490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21A85" w:rsidRPr="002D70DA" w:rsidRDefault="00021A85" w:rsidP="007B37D9">
            <w:pPr>
              <w:jc w:val="center"/>
              <w:rPr>
                <w:rFonts w:ascii="Arial" w:hAnsi="Arial" w:cs="Arial"/>
                <w:b/>
                <w:bCs/>
                <w:color w:val="000000"/>
                <w:sz w:val="17"/>
                <w:szCs w:val="17"/>
              </w:rPr>
            </w:pPr>
            <w:r>
              <w:rPr>
                <w:rFonts w:ascii="Arial" w:hAnsi="Arial" w:cs="Arial"/>
                <w:b/>
                <w:bCs/>
                <w:color w:val="000000"/>
                <w:sz w:val="17"/>
                <w:szCs w:val="17"/>
              </w:rPr>
              <w:t>Concepto</w:t>
            </w:r>
            <w:r w:rsidRPr="002D70DA">
              <w:rPr>
                <w:rFonts w:ascii="Arial" w:hAnsi="Arial" w:cs="Arial"/>
                <w:b/>
                <w:bCs/>
                <w:color w:val="000000"/>
                <w:sz w:val="17"/>
                <w:szCs w:val="17"/>
              </w:rPr>
              <w:t>:</w:t>
            </w:r>
          </w:p>
        </w:tc>
        <w:tc>
          <w:tcPr>
            <w:tcW w:w="2182"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21A85" w:rsidRPr="002D70DA" w:rsidRDefault="00FD7D84" w:rsidP="007B37D9">
            <w:pPr>
              <w:jc w:val="center"/>
              <w:rPr>
                <w:rFonts w:ascii="Arial" w:hAnsi="Arial" w:cs="Arial"/>
                <w:b/>
                <w:bCs/>
                <w:color w:val="000000"/>
                <w:sz w:val="17"/>
                <w:szCs w:val="17"/>
              </w:rPr>
            </w:pPr>
            <w:r>
              <w:rPr>
                <w:rFonts w:ascii="Arial" w:hAnsi="Arial" w:cs="Arial"/>
                <w:b/>
                <w:bCs/>
                <w:color w:val="000000"/>
                <w:sz w:val="17"/>
                <w:szCs w:val="17"/>
              </w:rPr>
              <w:t>2020</w:t>
            </w:r>
          </w:p>
        </w:tc>
        <w:tc>
          <w:tcPr>
            <w:tcW w:w="2182"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21A85" w:rsidRPr="002D70DA" w:rsidRDefault="00FD7D84" w:rsidP="007B37D9">
            <w:pPr>
              <w:jc w:val="center"/>
              <w:rPr>
                <w:rFonts w:ascii="Arial" w:hAnsi="Arial" w:cs="Arial"/>
                <w:b/>
                <w:bCs/>
                <w:color w:val="000000"/>
                <w:sz w:val="17"/>
                <w:szCs w:val="17"/>
              </w:rPr>
            </w:pPr>
            <w:r>
              <w:rPr>
                <w:rFonts w:ascii="Arial" w:hAnsi="Arial" w:cs="Arial"/>
                <w:b/>
                <w:bCs/>
                <w:color w:val="000000"/>
                <w:sz w:val="17"/>
                <w:szCs w:val="17"/>
              </w:rPr>
              <w:t>2019</w:t>
            </w:r>
          </w:p>
        </w:tc>
      </w:tr>
      <w:tr w:rsidR="00FE6425" w:rsidRPr="002D70DA" w:rsidTr="00FE6425">
        <w:trPr>
          <w:trHeight w:val="240"/>
          <w:jc w:val="center"/>
        </w:trPr>
        <w:tc>
          <w:tcPr>
            <w:tcW w:w="4906" w:type="dxa"/>
            <w:tcBorders>
              <w:top w:val="single" w:sz="4" w:space="0" w:color="auto"/>
              <w:left w:val="single" w:sz="4" w:space="0" w:color="auto"/>
              <w:bottom w:val="single" w:sz="4" w:space="0" w:color="auto"/>
              <w:right w:val="single" w:sz="4" w:space="0" w:color="auto"/>
            </w:tcBorders>
            <w:shd w:val="clear" w:color="auto" w:fill="auto"/>
          </w:tcPr>
          <w:p w:rsidR="00FE6425" w:rsidRPr="00186E15" w:rsidRDefault="00FE6425" w:rsidP="00FE6425">
            <w:pPr>
              <w:rPr>
                <w:rFonts w:ascii="Arial" w:hAnsi="Arial" w:cs="Arial"/>
                <w:sz w:val="17"/>
                <w:szCs w:val="17"/>
              </w:rPr>
            </w:pPr>
            <w:r w:rsidRPr="00186E15">
              <w:rPr>
                <w:rFonts w:ascii="Arial" w:hAnsi="Arial" w:cs="Arial"/>
                <w:sz w:val="17"/>
                <w:szCs w:val="17"/>
              </w:rPr>
              <w:t>Terrenos</w:t>
            </w:r>
          </w:p>
        </w:tc>
        <w:tc>
          <w:tcPr>
            <w:tcW w:w="2182" w:type="dxa"/>
            <w:tcBorders>
              <w:top w:val="single" w:sz="4" w:space="0" w:color="auto"/>
              <w:left w:val="nil"/>
              <w:bottom w:val="single" w:sz="4" w:space="0" w:color="auto"/>
              <w:right w:val="single" w:sz="4" w:space="0" w:color="auto"/>
            </w:tcBorders>
            <w:shd w:val="clear" w:color="auto" w:fill="auto"/>
          </w:tcPr>
          <w:p w:rsidR="00FE6425" w:rsidRPr="00FE6425" w:rsidRDefault="00FE6425" w:rsidP="00FE6425">
            <w:pPr>
              <w:jc w:val="right"/>
              <w:rPr>
                <w:rFonts w:ascii="Arial" w:hAnsi="Arial" w:cs="Arial"/>
                <w:sz w:val="17"/>
                <w:szCs w:val="17"/>
              </w:rPr>
            </w:pPr>
            <w:r w:rsidRPr="00FE6425">
              <w:rPr>
                <w:rFonts w:ascii="Arial" w:hAnsi="Arial" w:cs="Arial"/>
                <w:sz w:val="17"/>
                <w:szCs w:val="17"/>
              </w:rPr>
              <w:t xml:space="preserve">3,201,453,507 </w:t>
            </w:r>
          </w:p>
        </w:tc>
        <w:tc>
          <w:tcPr>
            <w:tcW w:w="2182" w:type="dxa"/>
            <w:tcBorders>
              <w:top w:val="single" w:sz="4" w:space="0" w:color="auto"/>
              <w:left w:val="nil"/>
              <w:bottom w:val="single" w:sz="4" w:space="0" w:color="auto"/>
              <w:right w:val="single" w:sz="4" w:space="0" w:color="auto"/>
            </w:tcBorders>
            <w:shd w:val="clear" w:color="auto" w:fill="auto"/>
          </w:tcPr>
          <w:p w:rsidR="00FE6425" w:rsidRPr="00FE6425" w:rsidRDefault="00FE6425" w:rsidP="00FE6425">
            <w:pPr>
              <w:jc w:val="right"/>
              <w:rPr>
                <w:rFonts w:ascii="Arial" w:hAnsi="Arial" w:cs="Arial"/>
                <w:sz w:val="17"/>
                <w:szCs w:val="17"/>
              </w:rPr>
            </w:pPr>
            <w:r w:rsidRPr="00FE6425">
              <w:rPr>
                <w:rFonts w:ascii="Arial" w:hAnsi="Arial" w:cs="Arial"/>
                <w:sz w:val="17"/>
                <w:szCs w:val="17"/>
              </w:rPr>
              <w:t xml:space="preserve"> 2,966,717,003 </w:t>
            </w:r>
          </w:p>
        </w:tc>
      </w:tr>
      <w:tr w:rsidR="00FE6425" w:rsidRPr="002D70DA" w:rsidTr="00FE6425">
        <w:trPr>
          <w:trHeight w:val="240"/>
          <w:jc w:val="center"/>
        </w:trPr>
        <w:tc>
          <w:tcPr>
            <w:tcW w:w="4906" w:type="dxa"/>
            <w:tcBorders>
              <w:top w:val="single" w:sz="4" w:space="0" w:color="auto"/>
              <w:left w:val="single" w:sz="4" w:space="0" w:color="auto"/>
              <w:bottom w:val="single" w:sz="4" w:space="0" w:color="auto"/>
              <w:right w:val="single" w:sz="4" w:space="0" w:color="auto"/>
            </w:tcBorders>
            <w:shd w:val="clear" w:color="auto" w:fill="auto"/>
          </w:tcPr>
          <w:p w:rsidR="00FE6425" w:rsidRPr="00186E15" w:rsidRDefault="00FE6425" w:rsidP="00FE6425">
            <w:pPr>
              <w:rPr>
                <w:rFonts w:ascii="Arial" w:hAnsi="Arial" w:cs="Arial"/>
                <w:sz w:val="17"/>
                <w:szCs w:val="17"/>
              </w:rPr>
            </w:pPr>
            <w:r w:rsidRPr="00186E15">
              <w:rPr>
                <w:rFonts w:ascii="Arial" w:hAnsi="Arial" w:cs="Arial"/>
                <w:sz w:val="17"/>
                <w:szCs w:val="17"/>
              </w:rPr>
              <w:t>Viviendas</w:t>
            </w:r>
          </w:p>
        </w:tc>
        <w:tc>
          <w:tcPr>
            <w:tcW w:w="2182" w:type="dxa"/>
            <w:tcBorders>
              <w:top w:val="single" w:sz="4" w:space="0" w:color="auto"/>
              <w:left w:val="nil"/>
              <w:bottom w:val="single" w:sz="4" w:space="0" w:color="auto"/>
              <w:right w:val="single" w:sz="4" w:space="0" w:color="auto"/>
            </w:tcBorders>
            <w:shd w:val="clear" w:color="auto" w:fill="auto"/>
          </w:tcPr>
          <w:p w:rsidR="00FE6425" w:rsidRPr="00FE6425" w:rsidRDefault="00FE6425" w:rsidP="00FE6425">
            <w:pPr>
              <w:jc w:val="right"/>
              <w:rPr>
                <w:rFonts w:ascii="Arial" w:hAnsi="Arial" w:cs="Arial"/>
                <w:sz w:val="17"/>
                <w:szCs w:val="17"/>
              </w:rPr>
            </w:pPr>
            <w:r w:rsidRPr="00FE6425">
              <w:rPr>
                <w:rFonts w:ascii="Arial" w:hAnsi="Arial" w:cs="Arial"/>
                <w:sz w:val="17"/>
                <w:szCs w:val="17"/>
              </w:rPr>
              <w:t xml:space="preserve">15,152,607 </w:t>
            </w:r>
          </w:p>
        </w:tc>
        <w:tc>
          <w:tcPr>
            <w:tcW w:w="2182" w:type="dxa"/>
            <w:tcBorders>
              <w:top w:val="single" w:sz="4" w:space="0" w:color="auto"/>
              <w:left w:val="nil"/>
              <w:bottom w:val="single" w:sz="4" w:space="0" w:color="auto"/>
              <w:right w:val="single" w:sz="4" w:space="0" w:color="auto"/>
            </w:tcBorders>
            <w:shd w:val="clear" w:color="auto" w:fill="auto"/>
          </w:tcPr>
          <w:p w:rsidR="00FE6425" w:rsidRPr="00FE6425" w:rsidRDefault="00FE6425" w:rsidP="00FE6425">
            <w:pPr>
              <w:jc w:val="right"/>
              <w:rPr>
                <w:rFonts w:ascii="Arial" w:hAnsi="Arial" w:cs="Arial"/>
                <w:sz w:val="17"/>
                <w:szCs w:val="17"/>
              </w:rPr>
            </w:pPr>
            <w:r w:rsidRPr="00FE6425">
              <w:rPr>
                <w:rFonts w:ascii="Arial" w:hAnsi="Arial" w:cs="Arial"/>
                <w:sz w:val="17"/>
                <w:szCs w:val="17"/>
              </w:rPr>
              <w:t xml:space="preserve"> 5,930,695 </w:t>
            </w:r>
          </w:p>
        </w:tc>
      </w:tr>
      <w:tr w:rsidR="00FE6425" w:rsidRPr="002D70DA" w:rsidTr="00FE6425">
        <w:trPr>
          <w:trHeight w:val="240"/>
          <w:jc w:val="center"/>
        </w:trPr>
        <w:tc>
          <w:tcPr>
            <w:tcW w:w="4906" w:type="dxa"/>
            <w:tcBorders>
              <w:top w:val="single" w:sz="4" w:space="0" w:color="auto"/>
              <w:left w:val="single" w:sz="4" w:space="0" w:color="auto"/>
              <w:bottom w:val="single" w:sz="4" w:space="0" w:color="auto"/>
              <w:right w:val="single" w:sz="4" w:space="0" w:color="auto"/>
            </w:tcBorders>
            <w:shd w:val="clear" w:color="auto" w:fill="auto"/>
          </w:tcPr>
          <w:p w:rsidR="00FE6425" w:rsidRPr="00186E15" w:rsidRDefault="00FE6425" w:rsidP="00FE6425">
            <w:pPr>
              <w:rPr>
                <w:rFonts w:ascii="Arial" w:hAnsi="Arial" w:cs="Arial"/>
                <w:sz w:val="17"/>
                <w:szCs w:val="17"/>
              </w:rPr>
            </w:pPr>
            <w:r w:rsidRPr="00186E15">
              <w:rPr>
                <w:rFonts w:ascii="Arial" w:hAnsi="Arial" w:cs="Arial"/>
                <w:sz w:val="17"/>
                <w:szCs w:val="17"/>
              </w:rPr>
              <w:t>Edificios no Habitacionales</w:t>
            </w:r>
          </w:p>
        </w:tc>
        <w:tc>
          <w:tcPr>
            <w:tcW w:w="2182" w:type="dxa"/>
            <w:tcBorders>
              <w:top w:val="single" w:sz="4" w:space="0" w:color="auto"/>
              <w:left w:val="nil"/>
              <w:bottom w:val="single" w:sz="4" w:space="0" w:color="auto"/>
              <w:right w:val="single" w:sz="4" w:space="0" w:color="auto"/>
            </w:tcBorders>
            <w:shd w:val="clear" w:color="auto" w:fill="auto"/>
          </w:tcPr>
          <w:p w:rsidR="00FE6425" w:rsidRPr="00FE6425" w:rsidRDefault="00FE6425" w:rsidP="00FE6425">
            <w:pPr>
              <w:jc w:val="right"/>
              <w:rPr>
                <w:rFonts w:ascii="Arial" w:hAnsi="Arial" w:cs="Arial"/>
                <w:sz w:val="17"/>
                <w:szCs w:val="17"/>
              </w:rPr>
            </w:pPr>
            <w:r w:rsidRPr="00FE6425">
              <w:rPr>
                <w:rFonts w:ascii="Arial" w:hAnsi="Arial" w:cs="Arial"/>
                <w:sz w:val="17"/>
                <w:szCs w:val="17"/>
              </w:rPr>
              <w:t xml:space="preserve">7,025,010,413 </w:t>
            </w:r>
          </w:p>
        </w:tc>
        <w:tc>
          <w:tcPr>
            <w:tcW w:w="2182" w:type="dxa"/>
            <w:tcBorders>
              <w:top w:val="single" w:sz="4" w:space="0" w:color="auto"/>
              <w:left w:val="nil"/>
              <w:bottom w:val="single" w:sz="4" w:space="0" w:color="auto"/>
              <w:right w:val="single" w:sz="4" w:space="0" w:color="auto"/>
            </w:tcBorders>
            <w:shd w:val="clear" w:color="auto" w:fill="auto"/>
          </w:tcPr>
          <w:p w:rsidR="00FE6425" w:rsidRPr="00FE6425" w:rsidRDefault="00FE6425" w:rsidP="00FE6425">
            <w:pPr>
              <w:jc w:val="right"/>
              <w:rPr>
                <w:rFonts w:ascii="Arial" w:hAnsi="Arial" w:cs="Arial"/>
                <w:sz w:val="17"/>
                <w:szCs w:val="17"/>
              </w:rPr>
            </w:pPr>
            <w:r w:rsidRPr="00FE6425">
              <w:rPr>
                <w:rFonts w:ascii="Arial" w:hAnsi="Arial" w:cs="Arial"/>
                <w:sz w:val="17"/>
                <w:szCs w:val="17"/>
              </w:rPr>
              <w:t xml:space="preserve"> 7,551,347,041 </w:t>
            </w:r>
          </w:p>
        </w:tc>
      </w:tr>
      <w:tr w:rsidR="00FE6425" w:rsidRPr="002D70DA" w:rsidTr="00FE6425">
        <w:trPr>
          <w:trHeight w:val="240"/>
          <w:jc w:val="center"/>
        </w:trPr>
        <w:tc>
          <w:tcPr>
            <w:tcW w:w="4906" w:type="dxa"/>
            <w:tcBorders>
              <w:top w:val="single" w:sz="4" w:space="0" w:color="auto"/>
              <w:left w:val="single" w:sz="4" w:space="0" w:color="auto"/>
              <w:bottom w:val="single" w:sz="4" w:space="0" w:color="auto"/>
              <w:right w:val="single" w:sz="4" w:space="0" w:color="auto"/>
            </w:tcBorders>
            <w:shd w:val="clear" w:color="auto" w:fill="auto"/>
          </w:tcPr>
          <w:p w:rsidR="00FE6425" w:rsidRPr="00186E15" w:rsidRDefault="00FE6425" w:rsidP="00FE6425">
            <w:pPr>
              <w:rPr>
                <w:rFonts w:ascii="Arial" w:hAnsi="Arial" w:cs="Arial"/>
                <w:sz w:val="17"/>
                <w:szCs w:val="17"/>
              </w:rPr>
            </w:pPr>
            <w:r w:rsidRPr="00186E15">
              <w:rPr>
                <w:rFonts w:ascii="Arial" w:hAnsi="Arial" w:cs="Arial"/>
                <w:sz w:val="17"/>
                <w:szCs w:val="17"/>
              </w:rPr>
              <w:t>Infraestructura</w:t>
            </w:r>
          </w:p>
        </w:tc>
        <w:tc>
          <w:tcPr>
            <w:tcW w:w="2182" w:type="dxa"/>
            <w:tcBorders>
              <w:top w:val="single" w:sz="4" w:space="0" w:color="auto"/>
              <w:left w:val="nil"/>
              <w:bottom w:val="single" w:sz="4" w:space="0" w:color="auto"/>
              <w:right w:val="single" w:sz="4" w:space="0" w:color="auto"/>
            </w:tcBorders>
            <w:shd w:val="clear" w:color="auto" w:fill="auto"/>
          </w:tcPr>
          <w:p w:rsidR="00FE6425" w:rsidRPr="00FE6425" w:rsidRDefault="00FE6425" w:rsidP="00FE6425">
            <w:pPr>
              <w:jc w:val="right"/>
              <w:rPr>
                <w:rFonts w:ascii="Arial" w:hAnsi="Arial" w:cs="Arial"/>
                <w:sz w:val="17"/>
                <w:szCs w:val="17"/>
              </w:rPr>
            </w:pPr>
            <w:r w:rsidRPr="00FE6425">
              <w:rPr>
                <w:rFonts w:ascii="Arial" w:hAnsi="Arial" w:cs="Arial"/>
                <w:sz w:val="17"/>
                <w:szCs w:val="17"/>
              </w:rPr>
              <w:t xml:space="preserve">354,217,755 </w:t>
            </w:r>
          </w:p>
        </w:tc>
        <w:tc>
          <w:tcPr>
            <w:tcW w:w="2182" w:type="dxa"/>
            <w:tcBorders>
              <w:top w:val="single" w:sz="4" w:space="0" w:color="auto"/>
              <w:left w:val="nil"/>
              <w:bottom w:val="single" w:sz="4" w:space="0" w:color="auto"/>
              <w:right w:val="single" w:sz="4" w:space="0" w:color="auto"/>
            </w:tcBorders>
            <w:shd w:val="clear" w:color="auto" w:fill="auto"/>
          </w:tcPr>
          <w:p w:rsidR="00FE6425" w:rsidRPr="00FE6425" w:rsidRDefault="00FE6425" w:rsidP="00FE6425">
            <w:pPr>
              <w:jc w:val="right"/>
              <w:rPr>
                <w:rFonts w:ascii="Arial" w:hAnsi="Arial" w:cs="Arial"/>
                <w:sz w:val="17"/>
                <w:szCs w:val="17"/>
              </w:rPr>
            </w:pPr>
            <w:r w:rsidRPr="00FE6425">
              <w:rPr>
                <w:rFonts w:ascii="Arial" w:hAnsi="Arial" w:cs="Arial"/>
                <w:sz w:val="17"/>
                <w:szCs w:val="17"/>
              </w:rPr>
              <w:t xml:space="preserve"> 620,739,252 </w:t>
            </w:r>
          </w:p>
        </w:tc>
      </w:tr>
      <w:tr w:rsidR="00FE6425" w:rsidRPr="002D70DA" w:rsidTr="00FE6425">
        <w:trPr>
          <w:trHeight w:val="240"/>
          <w:jc w:val="center"/>
        </w:trPr>
        <w:tc>
          <w:tcPr>
            <w:tcW w:w="4906" w:type="dxa"/>
            <w:tcBorders>
              <w:top w:val="single" w:sz="4" w:space="0" w:color="auto"/>
              <w:left w:val="single" w:sz="4" w:space="0" w:color="auto"/>
              <w:bottom w:val="single" w:sz="4" w:space="0" w:color="auto"/>
              <w:right w:val="single" w:sz="4" w:space="0" w:color="auto"/>
            </w:tcBorders>
            <w:shd w:val="clear" w:color="auto" w:fill="auto"/>
          </w:tcPr>
          <w:p w:rsidR="00FE6425" w:rsidRPr="00186E15" w:rsidRDefault="00FE6425" w:rsidP="00FE6425">
            <w:pPr>
              <w:rPr>
                <w:rFonts w:ascii="Arial" w:hAnsi="Arial" w:cs="Arial"/>
                <w:sz w:val="17"/>
                <w:szCs w:val="17"/>
              </w:rPr>
            </w:pPr>
            <w:r w:rsidRPr="00186E15">
              <w:rPr>
                <w:rFonts w:ascii="Arial" w:hAnsi="Arial" w:cs="Arial"/>
                <w:sz w:val="17"/>
                <w:szCs w:val="17"/>
              </w:rPr>
              <w:t>Construcciones en Proceso en Bienes de Dominio Público</w:t>
            </w:r>
          </w:p>
        </w:tc>
        <w:tc>
          <w:tcPr>
            <w:tcW w:w="2182" w:type="dxa"/>
            <w:tcBorders>
              <w:top w:val="single" w:sz="4" w:space="0" w:color="auto"/>
              <w:left w:val="nil"/>
              <w:bottom w:val="single" w:sz="4" w:space="0" w:color="auto"/>
              <w:right w:val="single" w:sz="4" w:space="0" w:color="auto"/>
            </w:tcBorders>
            <w:shd w:val="clear" w:color="auto" w:fill="auto"/>
          </w:tcPr>
          <w:p w:rsidR="00FE6425" w:rsidRPr="00FE6425" w:rsidRDefault="00FE6425" w:rsidP="00FE6425">
            <w:pPr>
              <w:jc w:val="right"/>
              <w:rPr>
                <w:rFonts w:ascii="Arial" w:hAnsi="Arial" w:cs="Arial"/>
                <w:sz w:val="17"/>
                <w:szCs w:val="17"/>
              </w:rPr>
            </w:pPr>
            <w:r w:rsidRPr="00FE6425">
              <w:rPr>
                <w:rFonts w:ascii="Arial" w:hAnsi="Arial" w:cs="Arial"/>
                <w:sz w:val="17"/>
                <w:szCs w:val="17"/>
              </w:rPr>
              <w:t xml:space="preserve">169,741,942 </w:t>
            </w:r>
          </w:p>
        </w:tc>
        <w:tc>
          <w:tcPr>
            <w:tcW w:w="2182" w:type="dxa"/>
            <w:tcBorders>
              <w:top w:val="single" w:sz="4" w:space="0" w:color="auto"/>
              <w:left w:val="nil"/>
              <w:bottom w:val="single" w:sz="4" w:space="0" w:color="auto"/>
              <w:right w:val="single" w:sz="4" w:space="0" w:color="auto"/>
            </w:tcBorders>
            <w:shd w:val="clear" w:color="auto" w:fill="auto"/>
          </w:tcPr>
          <w:p w:rsidR="00FE6425" w:rsidRPr="00FE6425" w:rsidRDefault="00FE6425" w:rsidP="00FE6425">
            <w:pPr>
              <w:jc w:val="right"/>
              <w:rPr>
                <w:rFonts w:ascii="Arial" w:hAnsi="Arial" w:cs="Arial"/>
                <w:sz w:val="17"/>
                <w:szCs w:val="17"/>
              </w:rPr>
            </w:pPr>
            <w:r w:rsidRPr="00FE6425">
              <w:rPr>
                <w:rFonts w:ascii="Arial" w:hAnsi="Arial" w:cs="Arial"/>
                <w:sz w:val="17"/>
                <w:szCs w:val="17"/>
              </w:rPr>
              <w:t xml:space="preserve"> 561,876,768 </w:t>
            </w:r>
          </w:p>
        </w:tc>
      </w:tr>
      <w:tr w:rsidR="00FE6425" w:rsidRPr="002D70DA" w:rsidTr="00FE6425">
        <w:trPr>
          <w:trHeight w:val="240"/>
          <w:jc w:val="center"/>
        </w:trPr>
        <w:tc>
          <w:tcPr>
            <w:tcW w:w="4906" w:type="dxa"/>
            <w:tcBorders>
              <w:top w:val="single" w:sz="4" w:space="0" w:color="auto"/>
              <w:left w:val="single" w:sz="4" w:space="0" w:color="auto"/>
              <w:bottom w:val="single" w:sz="4" w:space="0" w:color="auto"/>
              <w:right w:val="single" w:sz="4" w:space="0" w:color="auto"/>
            </w:tcBorders>
            <w:shd w:val="clear" w:color="auto" w:fill="auto"/>
          </w:tcPr>
          <w:p w:rsidR="00FE6425" w:rsidRPr="00186E15" w:rsidRDefault="00FE6425" w:rsidP="00FE6425">
            <w:pPr>
              <w:rPr>
                <w:rFonts w:ascii="Arial" w:hAnsi="Arial" w:cs="Arial"/>
                <w:sz w:val="17"/>
                <w:szCs w:val="17"/>
              </w:rPr>
            </w:pPr>
            <w:r w:rsidRPr="00186E15">
              <w:rPr>
                <w:rFonts w:ascii="Arial" w:hAnsi="Arial" w:cs="Arial"/>
                <w:sz w:val="17"/>
                <w:szCs w:val="17"/>
              </w:rPr>
              <w:t>Construcciones en Proceso en Bienes Propios</w:t>
            </w:r>
          </w:p>
        </w:tc>
        <w:tc>
          <w:tcPr>
            <w:tcW w:w="2182" w:type="dxa"/>
            <w:tcBorders>
              <w:top w:val="single" w:sz="4" w:space="0" w:color="auto"/>
              <w:left w:val="nil"/>
              <w:bottom w:val="single" w:sz="4" w:space="0" w:color="auto"/>
              <w:right w:val="single" w:sz="4" w:space="0" w:color="auto"/>
            </w:tcBorders>
            <w:shd w:val="clear" w:color="auto" w:fill="auto"/>
          </w:tcPr>
          <w:p w:rsidR="00FE6425" w:rsidRPr="00FE6425" w:rsidRDefault="00FE6425" w:rsidP="00FE6425">
            <w:pPr>
              <w:jc w:val="right"/>
              <w:rPr>
                <w:rFonts w:ascii="Arial" w:hAnsi="Arial" w:cs="Arial"/>
                <w:sz w:val="17"/>
                <w:szCs w:val="17"/>
              </w:rPr>
            </w:pPr>
            <w:r w:rsidRPr="00FE6425">
              <w:rPr>
                <w:rFonts w:ascii="Arial" w:hAnsi="Arial" w:cs="Arial"/>
                <w:sz w:val="17"/>
                <w:szCs w:val="17"/>
              </w:rPr>
              <w:t xml:space="preserve">38,537,401 </w:t>
            </w:r>
          </w:p>
        </w:tc>
        <w:tc>
          <w:tcPr>
            <w:tcW w:w="2182" w:type="dxa"/>
            <w:tcBorders>
              <w:top w:val="single" w:sz="4" w:space="0" w:color="auto"/>
              <w:left w:val="nil"/>
              <w:bottom w:val="single" w:sz="4" w:space="0" w:color="auto"/>
              <w:right w:val="single" w:sz="4" w:space="0" w:color="auto"/>
            </w:tcBorders>
            <w:shd w:val="clear" w:color="auto" w:fill="auto"/>
          </w:tcPr>
          <w:p w:rsidR="00FE6425" w:rsidRPr="00FE6425" w:rsidRDefault="00FE6425" w:rsidP="00FE6425">
            <w:pPr>
              <w:jc w:val="right"/>
              <w:rPr>
                <w:rFonts w:ascii="Arial" w:hAnsi="Arial" w:cs="Arial"/>
                <w:sz w:val="17"/>
                <w:szCs w:val="17"/>
              </w:rPr>
            </w:pPr>
            <w:r w:rsidRPr="00FE6425">
              <w:rPr>
                <w:rFonts w:ascii="Arial" w:hAnsi="Arial" w:cs="Arial"/>
                <w:sz w:val="17"/>
                <w:szCs w:val="17"/>
              </w:rPr>
              <w:t xml:space="preserve"> 8,902,075 </w:t>
            </w:r>
          </w:p>
        </w:tc>
      </w:tr>
      <w:tr w:rsidR="00FE6425" w:rsidRPr="002D70DA" w:rsidTr="00FE6425">
        <w:trPr>
          <w:trHeight w:val="240"/>
          <w:jc w:val="center"/>
        </w:trPr>
        <w:tc>
          <w:tcPr>
            <w:tcW w:w="4906" w:type="dxa"/>
            <w:tcBorders>
              <w:top w:val="single" w:sz="4" w:space="0" w:color="auto"/>
              <w:left w:val="single" w:sz="4" w:space="0" w:color="auto"/>
              <w:bottom w:val="single" w:sz="4" w:space="0" w:color="auto"/>
              <w:right w:val="single" w:sz="4" w:space="0" w:color="auto"/>
            </w:tcBorders>
            <w:shd w:val="clear" w:color="auto" w:fill="auto"/>
          </w:tcPr>
          <w:p w:rsidR="00FE6425" w:rsidRPr="00186E15" w:rsidRDefault="00FE6425" w:rsidP="00FE6425">
            <w:pPr>
              <w:rPr>
                <w:rFonts w:ascii="Arial" w:hAnsi="Arial" w:cs="Arial"/>
                <w:sz w:val="17"/>
                <w:szCs w:val="17"/>
              </w:rPr>
            </w:pPr>
            <w:r w:rsidRPr="00186E15">
              <w:rPr>
                <w:rFonts w:ascii="Arial" w:hAnsi="Arial" w:cs="Arial"/>
                <w:sz w:val="17"/>
                <w:szCs w:val="17"/>
              </w:rPr>
              <w:t>Otros Bienes Inmuebles</w:t>
            </w:r>
          </w:p>
        </w:tc>
        <w:tc>
          <w:tcPr>
            <w:tcW w:w="2182" w:type="dxa"/>
            <w:tcBorders>
              <w:top w:val="single" w:sz="4" w:space="0" w:color="auto"/>
              <w:left w:val="nil"/>
              <w:bottom w:val="single" w:sz="4" w:space="0" w:color="auto"/>
              <w:right w:val="single" w:sz="4" w:space="0" w:color="auto"/>
            </w:tcBorders>
            <w:shd w:val="clear" w:color="auto" w:fill="auto"/>
          </w:tcPr>
          <w:p w:rsidR="00FE6425" w:rsidRPr="00FE6425" w:rsidRDefault="00FE6425" w:rsidP="00FE6425">
            <w:pPr>
              <w:jc w:val="right"/>
              <w:rPr>
                <w:rFonts w:ascii="Arial" w:hAnsi="Arial" w:cs="Arial"/>
                <w:sz w:val="17"/>
                <w:szCs w:val="17"/>
              </w:rPr>
            </w:pPr>
            <w:r w:rsidRPr="00FE6425">
              <w:rPr>
                <w:rFonts w:ascii="Arial" w:hAnsi="Arial" w:cs="Arial"/>
                <w:sz w:val="17"/>
                <w:szCs w:val="17"/>
              </w:rPr>
              <w:t xml:space="preserve">0 </w:t>
            </w:r>
          </w:p>
        </w:tc>
        <w:tc>
          <w:tcPr>
            <w:tcW w:w="2182" w:type="dxa"/>
            <w:tcBorders>
              <w:top w:val="single" w:sz="4" w:space="0" w:color="auto"/>
              <w:left w:val="nil"/>
              <w:bottom w:val="single" w:sz="4" w:space="0" w:color="auto"/>
              <w:right w:val="single" w:sz="4" w:space="0" w:color="auto"/>
            </w:tcBorders>
            <w:shd w:val="clear" w:color="auto" w:fill="auto"/>
          </w:tcPr>
          <w:p w:rsidR="00FE6425" w:rsidRPr="00FE6425" w:rsidRDefault="00FE6425" w:rsidP="00FE6425">
            <w:pPr>
              <w:jc w:val="right"/>
              <w:rPr>
                <w:rFonts w:ascii="Arial" w:hAnsi="Arial" w:cs="Arial"/>
                <w:sz w:val="17"/>
                <w:szCs w:val="17"/>
              </w:rPr>
            </w:pPr>
            <w:r w:rsidRPr="00FE6425">
              <w:rPr>
                <w:rFonts w:ascii="Arial" w:hAnsi="Arial" w:cs="Arial"/>
                <w:sz w:val="17"/>
                <w:szCs w:val="17"/>
              </w:rPr>
              <w:t xml:space="preserve"> 16,674,992 </w:t>
            </w:r>
          </w:p>
        </w:tc>
      </w:tr>
      <w:tr w:rsidR="00FE6425" w:rsidRPr="002D70DA" w:rsidTr="00FE6425">
        <w:trPr>
          <w:trHeight w:val="240"/>
          <w:jc w:val="center"/>
        </w:trPr>
        <w:tc>
          <w:tcPr>
            <w:tcW w:w="4906" w:type="dxa"/>
            <w:tcBorders>
              <w:top w:val="nil"/>
              <w:left w:val="nil"/>
              <w:bottom w:val="nil"/>
              <w:right w:val="single" w:sz="4" w:space="0" w:color="auto"/>
            </w:tcBorders>
            <w:shd w:val="clear" w:color="000000" w:fill="FFFFFF"/>
            <w:vAlign w:val="center"/>
            <w:hideMark/>
          </w:tcPr>
          <w:p w:rsidR="00FE6425" w:rsidRPr="002D70DA" w:rsidRDefault="00FE6425" w:rsidP="00FE6425">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2" w:type="dxa"/>
            <w:tcBorders>
              <w:top w:val="single" w:sz="4" w:space="0" w:color="auto"/>
              <w:left w:val="single" w:sz="4" w:space="0" w:color="auto"/>
              <w:bottom w:val="single" w:sz="4" w:space="0" w:color="auto"/>
              <w:right w:val="nil"/>
            </w:tcBorders>
            <w:shd w:val="clear" w:color="000000" w:fill="FFFFFF"/>
          </w:tcPr>
          <w:p w:rsidR="00FE6425" w:rsidRPr="00FE6425" w:rsidRDefault="00FE6425" w:rsidP="00FE6425">
            <w:pPr>
              <w:jc w:val="right"/>
              <w:rPr>
                <w:rFonts w:ascii="Arial" w:hAnsi="Arial" w:cs="Arial"/>
                <w:b/>
                <w:sz w:val="17"/>
                <w:szCs w:val="17"/>
              </w:rPr>
            </w:pPr>
            <w:r w:rsidRPr="00FE6425">
              <w:rPr>
                <w:rFonts w:ascii="Arial" w:hAnsi="Arial" w:cs="Arial"/>
                <w:b/>
                <w:sz w:val="17"/>
                <w:szCs w:val="17"/>
              </w:rPr>
              <w:t xml:space="preserve">10,804,113,625 </w:t>
            </w:r>
          </w:p>
        </w:tc>
        <w:tc>
          <w:tcPr>
            <w:tcW w:w="2182" w:type="dxa"/>
            <w:tcBorders>
              <w:top w:val="nil"/>
              <w:left w:val="single" w:sz="4" w:space="0" w:color="auto"/>
              <w:bottom w:val="single" w:sz="4" w:space="0" w:color="auto"/>
              <w:right w:val="single" w:sz="4" w:space="0" w:color="auto"/>
            </w:tcBorders>
            <w:shd w:val="clear" w:color="000000" w:fill="FFFFFF"/>
          </w:tcPr>
          <w:p w:rsidR="00FE6425" w:rsidRPr="00FE6425" w:rsidRDefault="00FE6425" w:rsidP="00FE6425">
            <w:pPr>
              <w:jc w:val="right"/>
              <w:rPr>
                <w:rFonts w:ascii="Arial" w:hAnsi="Arial" w:cs="Arial"/>
                <w:b/>
                <w:sz w:val="17"/>
                <w:szCs w:val="17"/>
              </w:rPr>
            </w:pPr>
            <w:r w:rsidRPr="00FE6425">
              <w:rPr>
                <w:rFonts w:ascii="Arial" w:hAnsi="Arial" w:cs="Arial"/>
                <w:b/>
                <w:sz w:val="17"/>
                <w:szCs w:val="17"/>
              </w:rPr>
              <w:t xml:space="preserve"> 11,732,187,826 </w:t>
            </w:r>
          </w:p>
        </w:tc>
      </w:tr>
    </w:tbl>
    <w:p w:rsidR="00D33F92" w:rsidRDefault="00D33F92" w:rsidP="006E15EE">
      <w:pPr>
        <w:autoSpaceDE w:val="0"/>
        <w:autoSpaceDN w:val="0"/>
        <w:adjustRightInd w:val="0"/>
        <w:spacing w:before="240" w:after="120"/>
        <w:ind w:left="709"/>
        <w:rPr>
          <w:rFonts w:ascii="Arial" w:eastAsia="Calibri" w:hAnsi="Arial" w:cs="Arial"/>
          <w:spacing w:val="-1"/>
          <w:sz w:val="17"/>
          <w:szCs w:val="17"/>
        </w:rPr>
      </w:pPr>
    </w:p>
    <w:p w:rsidR="00660984" w:rsidRDefault="00D33F92" w:rsidP="006E15EE">
      <w:pPr>
        <w:autoSpaceDE w:val="0"/>
        <w:autoSpaceDN w:val="0"/>
        <w:adjustRightInd w:val="0"/>
        <w:spacing w:before="240" w:after="120"/>
        <w:ind w:left="709"/>
        <w:rPr>
          <w:rFonts w:ascii="Arial" w:eastAsia="Calibri" w:hAnsi="Arial" w:cs="Arial"/>
          <w:spacing w:val="-1"/>
          <w:sz w:val="17"/>
          <w:szCs w:val="17"/>
        </w:rPr>
      </w:pPr>
      <w:r w:rsidRPr="00D33F92">
        <w:rPr>
          <w:rFonts w:ascii="Arial" w:eastAsia="Calibri" w:hAnsi="Arial" w:cs="Arial"/>
          <w:spacing w:val="-1"/>
          <w:sz w:val="17"/>
          <w:szCs w:val="17"/>
        </w:rPr>
        <w:t xml:space="preserve">El </w:t>
      </w:r>
      <w:r w:rsidR="00FE6425">
        <w:rPr>
          <w:rFonts w:ascii="Arial" w:eastAsia="Calibri" w:hAnsi="Arial" w:cs="Arial"/>
          <w:spacing w:val="-1"/>
          <w:sz w:val="17"/>
          <w:szCs w:val="17"/>
        </w:rPr>
        <w:t>de</w:t>
      </w:r>
      <w:r w:rsidRPr="00D33F92">
        <w:rPr>
          <w:rFonts w:ascii="Arial" w:eastAsia="Calibri" w:hAnsi="Arial" w:cs="Arial"/>
          <w:spacing w:val="-1"/>
          <w:sz w:val="17"/>
          <w:szCs w:val="17"/>
        </w:rPr>
        <w:t xml:space="preserve">cremento en el rubro de </w:t>
      </w:r>
      <w:r w:rsidR="00FE6425" w:rsidRPr="00FE6425">
        <w:rPr>
          <w:rFonts w:ascii="Arial" w:eastAsia="Calibri" w:hAnsi="Arial" w:cs="Arial"/>
          <w:spacing w:val="-1"/>
          <w:sz w:val="17"/>
          <w:szCs w:val="17"/>
        </w:rPr>
        <w:t>Edificios no Habitacionales</w:t>
      </w:r>
      <w:r w:rsidRPr="00D33F92">
        <w:rPr>
          <w:rFonts w:ascii="Arial" w:eastAsia="Calibri" w:hAnsi="Arial" w:cs="Arial"/>
          <w:spacing w:val="-1"/>
          <w:sz w:val="17"/>
          <w:szCs w:val="17"/>
        </w:rPr>
        <w:t xml:space="preserve"> obedece principalmente a la revaluación catastral de los bienes inmuebles</w:t>
      </w:r>
      <w:r>
        <w:rPr>
          <w:rFonts w:ascii="Arial" w:eastAsia="Calibri" w:hAnsi="Arial" w:cs="Arial"/>
          <w:spacing w:val="-1"/>
          <w:sz w:val="17"/>
          <w:szCs w:val="17"/>
        </w:rPr>
        <w:t xml:space="preserve"> del Poder Ejecutivo</w:t>
      </w:r>
      <w:r w:rsidRPr="00D33F92">
        <w:rPr>
          <w:rFonts w:ascii="Arial" w:eastAsia="Calibri" w:hAnsi="Arial" w:cs="Arial"/>
          <w:spacing w:val="-1"/>
          <w:sz w:val="17"/>
          <w:szCs w:val="17"/>
        </w:rPr>
        <w:t>.</w:t>
      </w:r>
    </w:p>
    <w:p w:rsidR="00E13DFB" w:rsidRDefault="00E13DFB">
      <w:pPr>
        <w:rPr>
          <w:rFonts w:ascii="Arial" w:eastAsia="Calibri" w:hAnsi="Arial" w:cs="Arial"/>
          <w:spacing w:val="-1"/>
          <w:sz w:val="17"/>
          <w:szCs w:val="17"/>
        </w:rPr>
      </w:pPr>
    </w:p>
    <w:p w:rsidR="00186E15" w:rsidRDefault="00186E15">
      <w:pPr>
        <w:rPr>
          <w:rFonts w:ascii="Arial" w:eastAsia="Calibri" w:hAnsi="Arial" w:cs="Arial"/>
          <w:spacing w:val="-1"/>
          <w:sz w:val="17"/>
          <w:szCs w:val="17"/>
        </w:rPr>
      </w:pPr>
      <w:r>
        <w:rPr>
          <w:rFonts w:ascii="Arial" w:eastAsia="Calibri" w:hAnsi="Arial" w:cs="Arial"/>
          <w:spacing w:val="-1"/>
          <w:sz w:val="17"/>
          <w:szCs w:val="17"/>
        </w:rPr>
        <w:br w:type="page"/>
      </w:r>
    </w:p>
    <w:p w:rsidR="006E15EE" w:rsidRDefault="006E15EE" w:rsidP="006E15EE">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lastRenderedPageBreak/>
        <w:t>La cual está distribuido de la siguiente manera:</w:t>
      </w:r>
    </w:p>
    <w:p w:rsidR="006E15EE" w:rsidRPr="002D70DA" w:rsidRDefault="006E15EE" w:rsidP="006E15EE">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493393" w:rsidRPr="002D70DA" w:rsidTr="00467F5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3393" w:rsidRPr="002D70DA" w:rsidRDefault="00493393" w:rsidP="00F338A3">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493393"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493393"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2019</w:t>
            </w:r>
          </w:p>
        </w:tc>
      </w:tr>
      <w:tr w:rsidR="00467F53" w:rsidRPr="002D70DA" w:rsidTr="00467F5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67F53" w:rsidRPr="00C34218" w:rsidRDefault="00467F53" w:rsidP="00467F53">
            <w:pPr>
              <w:rPr>
                <w:rFonts w:ascii="Arial" w:hAnsi="Arial" w:cs="Arial"/>
                <w:b/>
                <w:sz w:val="17"/>
                <w:szCs w:val="17"/>
              </w:rPr>
            </w:pPr>
            <w:r w:rsidRPr="00C34218">
              <w:rPr>
                <w:rFonts w:ascii="Arial" w:hAnsi="Arial" w:cs="Arial"/>
                <w:b/>
                <w:sz w:val="17"/>
                <w:szCs w:val="17"/>
              </w:rPr>
              <w:t>Poder Ejecutivo</w:t>
            </w:r>
          </w:p>
        </w:tc>
        <w:tc>
          <w:tcPr>
            <w:tcW w:w="2180" w:type="dxa"/>
            <w:tcBorders>
              <w:top w:val="single" w:sz="4" w:space="0" w:color="auto"/>
              <w:left w:val="nil"/>
              <w:bottom w:val="single" w:sz="4" w:space="0" w:color="auto"/>
              <w:right w:val="single" w:sz="4" w:space="0" w:color="auto"/>
            </w:tcBorders>
            <w:shd w:val="clear" w:color="auto" w:fill="auto"/>
          </w:tcPr>
          <w:p w:rsidR="00467F53" w:rsidRPr="00467F53" w:rsidRDefault="00467F53" w:rsidP="00467F53">
            <w:pPr>
              <w:jc w:val="right"/>
              <w:rPr>
                <w:rFonts w:ascii="Arial" w:hAnsi="Arial" w:cs="Arial"/>
                <w:b/>
                <w:sz w:val="17"/>
                <w:szCs w:val="17"/>
              </w:rPr>
            </w:pPr>
            <w:r w:rsidRPr="00467F53">
              <w:rPr>
                <w:rFonts w:ascii="Arial" w:hAnsi="Arial" w:cs="Arial"/>
                <w:b/>
                <w:sz w:val="17"/>
                <w:szCs w:val="17"/>
              </w:rPr>
              <w:t xml:space="preserve">10,417,560,930 </w:t>
            </w:r>
          </w:p>
        </w:tc>
        <w:tc>
          <w:tcPr>
            <w:tcW w:w="2180" w:type="dxa"/>
            <w:tcBorders>
              <w:top w:val="single" w:sz="4" w:space="0" w:color="auto"/>
              <w:left w:val="nil"/>
              <w:bottom w:val="single" w:sz="4" w:space="0" w:color="auto"/>
              <w:right w:val="single" w:sz="4" w:space="0" w:color="auto"/>
            </w:tcBorders>
            <w:shd w:val="clear" w:color="auto" w:fill="auto"/>
          </w:tcPr>
          <w:p w:rsidR="00467F53" w:rsidRPr="00467F53" w:rsidRDefault="00467F53" w:rsidP="00467F53">
            <w:pPr>
              <w:jc w:val="right"/>
              <w:rPr>
                <w:rFonts w:ascii="Arial" w:hAnsi="Arial" w:cs="Arial"/>
                <w:b/>
                <w:sz w:val="17"/>
                <w:szCs w:val="17"/>
              </w:rPr>
            </w:pPr>
            <w:r w:rsidRPr="00467F53">
              <w:rPr>
                <w:rFonts w:ascii="Arial" w:hAnsi="Arial" w:cs="Arial"/>
                <w:b/>
                <w:sz w:val="17"/>
                <w:szCs w:val="17"/>
              </w:rPr>
              <w:t xml:space="preserve">11,401,281,340 </w:t>
            </w:r>
          </w:p>
        </w:tc>
      </w:tr>
      <w:tr w:rsidR="00467F53" w:rsidRPr="002D70DA" w:rsidTr="00467F5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67F53" w:rsidRPr="00C34218" w:rsidRDefault="00467F53" w:rsidP="00467F53">
            <w:pPr>
              <w:rPr>
                <w:rFonts w:ascii="Arial" w:hAnsi="Arial" w:cs="Arial"/>
                <w:b/>
                <w:sz w:val="17"/>
                <w:szCs w:val="17"/>
              </w:rPr>
            </w:pPr>
            <w:r w:rsidRPr="00C34218">
              <w:rPr>
                <w:rFonts w:ascii="Arial" w:hAnsi="Arial" w:cs="Arial"/>
                <w:b/>
                <w:sz w:val="17"/>
                <w:szCs w:val="17"/>
              </w:rPr>
              <w:t>Poder Judicial</w:t>
            </w:r>
          </w:p>
        </w:tc>
        <w:tc>
          <w:tcPr>
            <w:tcW w:w="2180" w:type="dxa"/>
            <w:tcBorders>
              <w:top w:val="single" w:sz="4" w:space="0" w:color="auto"/>
              <w:left w:val="nil"/>
              <w:bottom w:val="single" w:sz="4" w:space="0" w:color="auto"/>
              <w:right w:val="single" w:sz="4" w:space="0" w:color="auto"/>
            </w:tcBorders>
            <w:shd w:val="clear" w:color="auto" w:fill="auto"/>
          </w:tcPr>
          <w:p w:rsidR="00467F53" w:rsidRPr="00467F53" w:rsidRDefault="00467F53" w:rsidP="00467F53">
            <w:pPr>
              <w:jc w:val="right"/>
              <w:rPr>
                <w:rFonts w:ascii="Arial" w:hAnsi="Arial" w:cs="Arial"/>
                <w:b/>
                <w:sz w:val="17"/>
                <w:szCs w:val="17"/>
              </w:rPr>
            </w:pPr>
            <w:r w:rsidRPr="00467F53">
              <w:rPr>
                <w:rFonts w:ascii="Arial" w:hAnsi="Arial" w:cs="Arial"/>
                <w:b/>
                <w:sz w:val="17"/>
                <w:szCs w:val="17"/>
              </w:rPr>
              <w:t xml:space="preserve">43,642,146 </w:t>
            </w:r>
          </w:p>
        </w:tc>
        <w:tc>
          <w:tcPr>
            <w:tcW w:w="2180" w:type="dxa"/>
            <w:tcBorders>
              <w:top w:val="single" w:sz="4" w:space="0" w:color="auto"/>
              <w:left w:val="nil"/>
              <w:bottom w:val="single" w:sz="4" w:space="0" w:color="auto"/>
              <w:right w:val="single" w:sz="4" w:space="0" w:color="auto"/>
            </w:tcBorders>
            <w:shd w:val="clear" w:color="auto" w:fill="auto"/>
          </w:tcPr>
          <w:p w:rsidR="00467F53" w:rsidRPr="00467F53" w:rsidRDefault="00467F53" w:rsidP="00467F53">
            <w:pPr>
              <w:jc w:val="right"/>
              <w:rPr>
                <w:rFonts w:ascii="Arial" w:hAnsi="Arial" w:cs="Arial"/>
                <w:b/>
                <w:sz w:val="17"/>
                <w:szCs w:val="17"/>
              </w:rPr>
            </w:pPr>
            <w:r w:rsidRPr="00467F53">
              <w:rPr>
                <w:rFonts w:ascii="Arial" w:hAnsi="Arial" w:cs="Arial"/>
                <w:b/>
                <w:sz w:val="17"/>
                <w:szCs w:val="17"/>
              </w:rPr>
              <w:t xml:space="preserve">5,104,745 </w:t>
            </w:r>
          </w:p>
        </w:tc>
      </w:tr>
      <w:tr w:rsidR="00467F53" w:rsidRPr="002D70DA" w:rsidTr="00467F5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67F53" w:rsidRPr="00C34218" w:rsidRDefault="00467F53" w:rsidP="00467F53">
            <w:pPr>
              <w:rPr>
                <w:rFonts w:ascii="Arial" w:hAnsi="Arial" w:cs="Arial"/>
                <w:b/>
                <w:sz w:val="17"/>
                <w:szCs w:val="17"/>
              </w:rPr>
            </w:pPr>
            <w:r w:rsidRPr="00C34218">
              <w:rPr>
                <w:rFonts w:ascii="Arial" w:hAnsi="Arial" w:cs="Arial"/>
                <w:b/>
                <w:sz w:val="17"/>
                <w:szCs w:val="17"/>
              </w:rPr>
              <w:t>Poder Legislativo</w:t>
            </w:r>
          </w:p>
        </w:tc>
        <w:tc>
          <w:tcPr>
            <w:tcW w:w="2180" w:type="dxa"/>
            <w:tcBorders>
              <w:top w:val="single" w:sz="4" w:space="0" w:color="auto"/>
              <w:left w:val="nil"/>
              <w:bottom w:val="single" w:sz="4" w:space="0" w:color="auto"/>
              <w:right w:val="single" w:sz="4" w:space="0" w:color="auto"/>
            </w:tcBorders>
            <w:shd w:val="clear" w:color="auto" w:fill="auto"/>
          </w:tcPr>
          <w:p w:rsidR="00467F53" w:rsidRPr="00467F53" w:rsidRDefault="00467F53" w:rsidP="00467F53">
            <w:pPr>
              <w:jc w:val="right"/>
              <w:rPr>
                <w:rFonts w:ascii="Arial" w:hAnsi="Arial" w:cs="Arial"/>
                <w:b/>
                <w:sz w:val="17"/>
                <w:szCs w:val="17"/>
              </w:rPr>
            </w:pPr>
            <w:r w:rsidRPr="00467F53">
              <w:rPr>
                <w:rFonts w:ascii="Arial" w:hAnsi="Arial" w:cs="Arial"/>
                <w:b/>
                <w:sz w:val="17"/>
                <w:szCs w:val="17"/>
              </w:rPr>
              <w:t xml:space="preserve">296,508,980 </w:t>
            </w:r>
          </w:p>
        </w:tc>
        <w:tc>
          <w:tcPr>
            <w:tcW w:w="2180" w:type="dxa"/>
            <w:tcBorders>
              <w:top w:val="single" w:sz="4" w:space="0" w:color="auto"/>
              <w:left w:val="nil"/>
              <w:bottom w:val="single" w:sz="4" w:space="0" w:color="auto"/>
              <w:right w:val="single" w:sz="4" w:space="0" w:color="auto"/>
            </w:tcBorders>
            <w:shd w:val="clear" w:color="auto" w:fill="auto"/>
          </w:tcPr>
          <w:p w:rsidR="00467F53" w:rsidRPr="00467F53" w:rsidRDefault="00467F53" w:rsidP="00467F53">
            <w:pPr>
              <w:jc w:val="right"/>
              <w:rPr>
                <w:rFonts w:ascii="Arial" w:hAnsi="Arial" w:cs="Arial"/>
                <w:b/>
                <w:sz w:val="17"/>
                <w:szCs w:val="17"/>
              </w:rPr>
            </w:pPr>
            <w:r w:rsidRPr="00467F53">
              <w:rPr>
                <w:rFonts w:ascii="Arial" w:hAnsi="Arial" w:cs="Arial"/>
                <w:b/>
                <w:sz w:val="17"/>
                <w:szCs w:val="17"/>
              </w:rPr>
              <w:t xml:space="preserve">283,539,980 </w:t>
            </w:r>
          </w:p>
        </w:tc>
      </w:tr>
      <w:tr w:rsidR="00467F53" w:rsidRPr="002D70DA" w:rsidTr="00467F5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67F53" w:rsidRPr="00C34218" w:rsidRDefault="00467F53" w:rsidP="00467F53">
            <w:pPr>
              <w:rPr>
                <w:rFonts w:ascii="Arial" w:hAnsi="Arial" w:cs="Arial"/>
                <w:b/>
                <w:sz w:val="17"/>
                <w:szCs w:val="17"/>
              </w:rPr>
            </w:pPr>
            <w:r w:rsidRPr="00C34218">
              <w:rPr>
                <w:rFonts w:ascii="Arial" w:hAnsi="Arial" w:cs="Arial"/>
                <w:b/>
                <w:sz w:val="17"/>
                <w:szCs w:val="17"/>
              </w:rPr>
              <w:t>Órganos Autónomos</w:t>
            </w:r>
          </w:p>
        </w:tc>
        <w:tc>
          <w:tcPr>
            <w:tcW w:w="2180" w:type="dxa"/>
            <w:tcBorders>
              <w:top w:val="single" w:sz="4" w:space="0" w:color="auto"/>
              <w:left w:val="nil"/>
              <w:bottom w:val="single" w:sz="4" w:space="0" w:color="auto"/>
              <w:right w:val="single" w:sz="4" w:space="0" w:color="auto"/>
            </w:tcBorders>
            <w:shd w:val="clear" w:color="auto" w:fill="auto"/>
          </w:tcPr>
          <w:p w:rsidR="00467F53" w:rsidRPr="00467F53" w:rsidRDefault="00467F53" w:rsidP="00467F53">
            <w:pPr>
              <w:jc w:val="right"/>
              <w:rPr>
                <w:rFonts w:ascii="Arial" w:hAnsi="Arial" w:cs="Arial"/>
                <w:b/>
                <w:sz w:val="17"/>
                <w:szCs w:val="17"/>
              </w:rPr>
            </w:pPr>
            <w:r w:rsidRPr="00467F53">
              <w:rPr>
                <w:rFonts w:ascii="Arial" w:hAnsi="Arial" w:cs="Arial"/>
                <w:b/>
                <w:sz w:val="17"/>
                <w:szCs w:val="17"/>
              </w:rPr>
              <w:t xml:space="preserve">46,401,569 </w:t>
            </w:r>
          </w:p>
        </w:tc>
        <w:tc>
          <w:tcPr>
            <w:tcW w:w="2180" w:type="dxa"/>
            <w:tcBorders>
              <w:top w:val="single" w:sz="4" w:space="0" w:color="auto"/>
              <w:left w:val="nil"/>
              <w:bottom w:val="single" w:sz="4" w:space="0" w:color="auto"/>
              <w:right w:val="single" w:sz="4" w:space="0" w:color="auto"/>
            </w:tcBorders>
            <w:shd w:val="clear" w:color="auto" w:fill="auto"/>
          </w:tcPr>
          <w:p w:rsidR="00467F53" w:rsidRPr="00467F53" w:rsidRDefault="00467F53" w:rsidP="00467F53">
            <w:pPr>
              <w:jc w:val="right"/>
              <w:rPr>
                <w:rFonts w:ascii="Arial" w:hAnsi="Arial" w:cs="Arial"/>
                <w:b/>
                <w:sz w:val="17"/>
                <w:szCs w:val="17"/>
              </w:rPr>
            </w:pPr>
            <w:r w:rsidRPr="00467F53">
              <w:rPr>
                <w:rFonts w:ascii="Arial" w:hAnsi="Arial" w:cs="Arial"/>
                <w:b/>
                <w:sz w:val="17"/>
                <w:szCs w:val="17"/>
              </w:rPr>
              <w:t xml:space="preserve">42,261,761 </w:t>
            </w:r>
          </w:p>
        </w:tc>
      </w:tr>
      <w:tr w:rsidR="00467F53" w:rsidRPr="002D70DA" w:rsidTr="00467F5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67F53" w:rsidRPr="00C34218" w:rsidRDefault="00467F53" w:rsidP="00467F53">
            <w:pPr>
              <w:ind w:left="497"/>
              <w:rPr>
                <w:rFonts w:ascii="Arial" w:hAnsi="Arial" w:cs="Arial"/>
                <w:sz w:val="17"/>
                <w:szCs w:val="17"/>
              </w:rPr>
            </w:pPr>
            <w:r w:rsidRPr="00C34218">
              <w:rPr>
                <w:rFonts w:ascii="Arial" w:hAnsi="Arial" w:cs="Arial"/>
                <w:sz w:val="17"/>
                <w:szCs w:val="17"/>
              </w:rPr>
              <w:t>Comisión de Transparencia y Acceso a la</w:t>
            </w:r>
          </w:p>
          <w:p w:rsidR="00467F53" w:rsidRPr="00560A6D" w:rsidRDefault="00467F53" w:rsidP="00467F53">
            <w:pPr>
              <w:ind w:left="497"/>
              <w:rPr>
                <w:rFonts w:ascii="Arial" w:hAnsi="Arial" w:cs="Arial"/>
                <w:sz w:val="17"/>
                <w:szCs w:val="17"/>
              </w:rPr>
            </w:pPr>
            <w:r w:rsidRPr="00C34218">
              <w:rPr>
                <w:rFonts w:ascii="Arial" w:hAnsi="Arial" w:cs="Arial"/>
                <w:sz w:val="17"/>
                <w:szCs w:val="17"/>
              </w:rPr>
              <w:t>Información Pública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67F53" w:rsidRPr="00467F53" w:rsidRDefault="00467F53" w:rsidP="00467F53">
            <w:pPr>
              <w:jc w:val="right"/>
              <w:rPr>
                <w:rFonts w:ascii="Arial" w:hAnsi="Arial" w:cs="Arial"/>
                <w:sz w:val="17"/>
                <w:szCs w:val="17"/>
              </w:rPr>
            </w:pPr>
            <w:r w:rsidRPr="00467F53">
              <w:rPr>
                <w:rFonts w:ascii="Arial" w:hAnsi="Arial" w:cs="Arial"/>
                <w:sz w:val="17"/>
                <w:szCs w:val="17"/>
              </w:rPr>
              <w:t xml:space="preserve">986,760 </w:t>
            </w:r>
          </w:p>
        </w:tc>
        <w:tc>
          <w:tcPr>
            <w:tcW w:w="2180" w:type="dxa"/>
            <w:tcBorders>
              <w:top w:val="single" w:sz="4" w:space="0" w:color="auto"/>
              <w:left w:val="nil"/>
              <w:bottom w:val="single" w:sz="4" w:space="0" w:color="auto"/>
              <w:right w:val="single" w:sz="4" w:space="0" w:color="auto"/>
            </w:tcBorders>
            <w:shd w:val="clear" w:color="auto" w:fill="auto"/>
          </w:tcPr>
          <w:p w:rsidR="00467F53" w:rsidRPr="00467F53" w:rsidRDefault="00467F53" w:rsidP="00467F53">
            <w:pPr>
              <w:jc w:val="right"/>
              <w:rPr>
                <w:rFonts w:ascii="Arial" w:hAnsi="Arial" w:cs="Arial"/>
                <w:sz w:val="17"/>
                <w:szCs w:val="17"/>
              </w:rPr>
            </w:pPr>
            <w:r w:rsidRPr="00467F53">
              <w:rPr>
                <w:rFonts w:ascii="Arial" w:hAnsi="Arial" w:cs="Arial"/>
                <w:sz w:val="17"/>
                <w:szCs w:val="17"/>
              </w:rPr>
              <w:t xml:space="preserve">937,422 </w:t>
            </w:r>
          </w:p>
        </w:tc>
      </w:tr>
      <w:tr w:rsidR="00467F53" w:rsidRPr="002D70DA" w:rsidTr="00467F5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67F53" w:rsidRPr="00C34218" w:rsidRDefault="00467F53" w:rsidP="00467F53">
            <w:pPr>
              <w:ind w:left="497"/>
              <w:rPr>
                <w:rFonts w:ascii="Arial" w:hAnsi="Arial" w:cs="Arial"/>
                <w:sz w:val="17"/>
                <w:szCs w:val="17"/>
              </w:rPr>
            </w:pPr>
            <w:r w:rsidRPr="00C34218">
              <w:rPr>
                <w:rFonts w:ascii="Arial" w:hAnsi="Arial" w:cs="Arial"/>
                <w:sz w:val="17"/>
                <w:szCs w:val="17"/>
              </w:rPr>
              <w:t>Fiscalía General del Estado</w:t>
            </w:r>
          </w:p>
        </w:tc>
        <w:tc>
          <w:tcPr>
            <w:tcW w:w="2180" w:type="dxa"/>
            <w:tcBorders>
              <w:top w:val="single" w:sz="4" w:space="0" w:color="auto"/>
              <w:left w:val="nil"/>
              <w:bottom w:val="single" w:sz="4" w:space="0" w:color="auto"/>
              <w:right w:val="single" w:sz="4" w:space="0" w:color="auto"/>
            </w:tcBorders>
            <w:shd w:val="clear" w:color="auto" w:fill="auto"/>
          </w:tcPr>
          <w:p w:rsidR="00467F53" w:rsidRPr="00467F53" w:rsidRDefault="00467F53" w:rsidP="00467F53">
            <w:pPr>
              <w:jc w:val="right"/>
              <w:rPr>
                <w:rFonts w:ascii="Arial" w:hAnsi="Arial" w:cs="Arial"/>
                <w:sz w:val="17"/>
                <w:szCs w:val="17"/>
              </w:rPr>
            </w:pPr>
            <w:r w:rsidRPr="00467F53">
              <w:rPr>
                <w:rFonts w:ascii="Arial" w:hAnsi="Arial" w:cs="Arial"/>
                <w:sz w:val="17"/>
                <w:szCs w:val="17"/>
              </w:rPr>
              <w:t xml:space="preserve">15,841,196 </w:t>
            </w:r>
          </w:p>
        </w:tc>
        <w:tc>
          <w:tcPr>
            <w:tcW w:w="2180" w:type="dxa"/>
            <w:tcBorders>
              <w:top w:val="single" w:sz="4" w:space="0" w:color="auto"/>
              <w:left w:val="nil"/>
              <w:bottom w:val="single" w:sz="4" w:space="0" w:color="auto"/>
              <w:right w:val="single" w:sz="4" w:space="0" w:color="auto"/>
            </w:tcBorders>
            <w:shd w:val="clear" w:color="auto" w:fill="auto"/>
          </w:tcPr>
          <w:p w:rsidR="00467F53" w:rsidRPr="00467F53" w:rsidRDefault="00467F53" w:rsidP="00467F53">
            <w:pPr>
              <w:jc w:val="right"/>
              <w:rPr>
                <w:rFonts w:ascii="Arial" w:hAnsi="Arial" w:cs="Arial"/>
                <w:sz w:val="17"/>
                <w:szCs w:val="17"/>
              </w:rPr>
            </w:pPr>
            <w:r w:rsidRPr="00467F53">
              <w:rPr>
                <w:rFonts w:ascii="Arial" w:hAnsi="Arial" w:cs="Arial"/>
                <w:sz w:val="17"/>
                <w:szCs w:val="17"/>
              </w:rPr>
              <w:t xml:space="preserve">15,841,196 </w:t>
            </w:r>
          </w:p>
        </w:tc>
      </w:tr>
      <w:tr w:rsidR="00467F53" w:rsidRPr="002D70DA" w:rsidTr="00467F5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67F53" w:rsidRPr="00560A6D" w:rsidRDefault="00467F53" w:rsidP="00467F53">
            <w:pPr>
              <w:ind w:left="497"/>
              <w:rPr>
                <w:rFonts w:ascii="Arial" w:hAnsi="Arial" w:cs="Arial"/>
                <w:sz w:val="17"/>
                <w:szCs w:val="17"/>
              </w:rPr>
            </w:pPr>
            <w:r w:rsidRPr="00C34218">
              <w:rPr>
                <w:rFonts w:ascii="Arial" w:hAnsi="Arial" w:cs="Arial"/>
                <w:sz w:val="17"/>
                <w:szCs w:val="17"/>
              </w:rPr>
              <w:t>Instituto Electoral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67F53" w:rsidRPr="00467F53" w:rsidRDefault="00467F53" w:rsidP="00467F53">
            <w:pPr>
              <w:jc w:val="right"/>
              <w:rPr>
                <w:rFonts w:ascii="Arial" w:hAnsi="Arial" w:cs="Arial"/>
                <w:sz w:val="17"/>
                <w:szCs w:val="17"/>
              </w:rPr>
            </w:pPr>
            <w:r w:rsidRPr="00467F53">
              <w:rPr>
                <w:rFonts w:ascii="Arial" w:hAnsi="Arial" w:cs="Arial"/>
                <w:sz w:val="17"/>
                <w:szCs w:val="17"/>
              </w:rPr>
              <w:t xml:space="preserve">28,633,290 </w:t>
            </w:r>
          </w:p>
        </w:tc>
        <w:tc>
          <w:tcPr>
            <w:tcW w:w="2180" w:type="dxa"/>
            <w:tcBorders>
              <w:top w:val="single" w:sz="4" w:space="0" w:color="auto"/>
              <w:left w:val="nil"/>
              <w:bottom w:val="single" w:sz="4" w:space="0" w:color="auto"/>
              <w:right w:val="single" w:sz="4" w:space="0" w:color="auto"/>
            </w:tcBorders>
            <w:shd w:val="clear" w:color="auto" w:fill="auto"/>
          </w:tcPr>
          <w:p w:rsidR="00467F53" w:rsidRPr="00467F53" w:rsidRDefault="00467F53" w:rsidP="00467F53">
            <w:pPr>
              <w:jc w:val="right"/>
              <w:rPr>
                <w:rFonts w:ascii="Arial" w:hAnsi="Arial" w:cs="Arial"/>
                <w:sz w:val="17"/>
                <w:szCs w:val="17"/>
              </w:rPr>
            </w:pPr>
            <w:r w:rsidRPr="00467F53">
              <w:rPr>
                <w:rFonts w:ascii="Arial" w:hAnsi="Arial" w:cs="Arial"/>
                <w:sz w:val="17"/>
                <w:szCs w:val="17"/>
              </w:rPr>
              <w:t xml:space="preserve">24,542,820 </w:t>
            </w:r>
          </w:p>
        </w:tc>
      </w:tr>
      <w:tr w:rsidR="00467F53" w:rsidRPr="002D70DA" w:rsidTr="00467F5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67F53" w:rsidRPr="00C34218" w:rsidRDefault="00467F53" w:rsidP="00467F53">
            <w:pPr>
              <w:ind w:left="497"/>
              <w:rPr>
                <w:rFonts w:ascii="Arial" w:hAnsi="Arial" w:cs="Arial"/>
                <w:sz w:val="17"/>
                <w:szCs w:val="17"/>
              </w:rPr>
            </w:pPr>
            <w:r w:rsidRPr="00C34218">
              <w:rPr>
                <w:rFonts w:ascii="Arial" w:hAnsi="Arial" w:cs="Arial"/>
                <w:sz w:val="17"/>
                <w:szCs w:val="17"/>
              </w:rPr>
              <w:t>Tribunal de Conciliación y Arbitraje</w:t>
            </w:r>
          </w:p>
        </w:tc>
        <w:tc>
          <w:tcPr>
            <w:tcW w:w="2180" w:type="dxa"/>
            <w:tcBorders>
              <w:top w:val="single" w:sz="4" w:space="0" w:color="auto"/>
              <w:left w:val="nil"/>
              <w:bottom w:val="single" w:sz="4" w:space="0" w:color="auto"/>
              <w:right w:val="single" w:sz="4" w:space="0" w:color="auto"/>
            </w:tcBorders>
            <w:shd w:val="clear" w:color="auto" w:fill="auto"/>
          </w:tcPr>
          <w:p w:rsidR="00467F53" w:rsidRPr="00467F53" w:rsidRDefault="00467F53" w:rsidP="00467F53">
            <w:pPr>
              <w:jc w:val="right"/>
              <w:rPr>
                <w:rFonts w:ascii="Arial" w:hAnsi="Arial" w:cs="Arial"/>
                <w:sz w:val="17"/>
                <w:szCs w:val="17"/>
              </w:rPr>
            </w:pPr>
            <w:r w:rsidRPr="00467F53">
              <w:rPr>
                <w:rFonts w:ascii="Arial" w:hAnsi="Arial" w:cs="Arial"/>
                <w:sz w:val="17"/>
                <w:szCs w:val="17"/>
              </w:rPr>
              <w:t xml:space="preserve">940,324 </w:t>
            </w:r>
          </w:p>
        </w:tc>
        <w:tc>
          <w:tcPr>
            <w:tcW w:w="2180" w:type="dxa"/>
            <w:tcBorders>
              <w:top w:val="single" w:sz="4" w:space="0" w:color="auto"/>
              <w:left w:val="nil"/>
              <w:bottom w:val="single" w:sz="4" w:space="0" w:color="auto"/>
              <w:right w:val="single" w:sz="4" w:space="0" w:color="auto"/>
            </w:tcBorders>
            <w:shd w:val="clear" w:color="auto" w:fill="auto"/>
          </w:tcPr>
          <w:p w:rsidR="00467F53" w:rsidRPr="00467F53" w:rsidRDefault="00467F53" w:rsidP="00467F53">
            <w:pPr>
              <w:jc w:val="right"/>
              <w:rPr>
                <w:rFonts w:ascii="Arial" w:hAnsi="Arial" w:cs="Arial"/>
                <w:sz w:val="17"/>
                <w:szCs w:val="17"/>
              </w:rPr>
            </w:pPr>
            <w:r w:rsidRPr="00467F53">
              <w:rPr>
                <w:rFonts w:ascii="Arial" w:hAnsi="Arial" w:cs="Arial"/>
                <w:sz w:val="17"/>
                <w:szCs w:val="17"/>
              </w:rPr>
              <w:t xml:space="preserve">940,324 </w:t>
            </w:r>
          </w:p>
        </w:tc>
      </w:tr>
      <w:tr w:rsidR="00467F53" w:rsidRPr="002D70DA" w:rsidTr="00467F53">
        <w:trPr>
          <w:trHeight w:val="240"/>
          <w:jc w:val="center"/>
        </w:trPr>
        <w:tc>
          <w:tcPr>
            <w:tcW w:w="4900" w:type="dxa"/>
            <w:tcBorders>
              <w:top w:val="nil"/>
              <w:left w:val="nil"/>
              <w:bottom w:val="nil"/>
              <w:right w:val="single" w:sz="4" w:space="0" w:color="auto"/>
            </w:tcBorders>
            <w:shd w:val="clear" w:color="000000" w:fill="FFFFFF"/>
            <w:vAlign w:val="center"/>
            <w:hideMark/>
          </w:tcPr>
          <w:p w:rsidR="00467F53" w:rsidRPr="002D70DA" w:rsidRDefault="00467F53" w:rsidP="00467F53">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467F53" w:rsidRPr="00186E15" w:rsidRDefault="00467F53" w:rsidP="00467F53">
            <w:pPr>
              <w:jc w:val="right"/>
              <w:rPr>
                <w:rFonts w:ascii="Arial" w:hAnsi="Arial" w:cs="Arial"/>
                <w:b/>
                <w:sz w:val="17"/>
                <w:szCs w:val="17"/>
              </w:rPr>
            </w:pPr>
            <w:r w:rsidRPr="00467F53">
              <w:rPr>
                <w:rFonts w:ascii="Arial" w:hAnsi="Arial" w:cs="Arial"/>
                <w:b/>
                <w:sz w:val="17"/>
                <w:szCs w:val="17"/>
              </w:rPr>
              <w:t>10,804,113,625</w:t>
            </w:r>
          </w:p>
        </w:tc>
        <w:tc>
          <w:tcPr>
            <w:tcW w:w="2180" w:type="dxa"/>
            <w:tcBorders>
              <w:top w:val="nil"/>
              <w:left w:val="single" w:sz="4" w:space="0" w:color="auto"/>
              <w:bottom w:val="single" w:sz="4" w:space="0" w:color="auto"/>
              <w:right w:val="single" w:sz="4" w:space="0" w:color="auto"/>
            </w:tcBorders>
            <w:shd w:val="clear" w:color="000000" w:fill="FFFFFF"/>
          </w:tcPr>
          <w:p w:rsidR="00467F53" w:rsidRPr="00467F53" w:rsidRDefault="00467F53" w:rsidP="00467F53">
            <w:pPr>
              <w:jc w:val="right"/>
              <w:rPr>
                <w:rFonts w:ascii="Arial" w:hAnsi="Arial" w:cs="Arial"/>
                <w:b/>
                <w:sz w:val="17"/>
                <w:szCs w:val="17"/>
              </w:rPr>
            </w:pPr>
            <w:r w:rsidRPr="00467F53">
              <w:rPr>
                <w:rFonts w:ascii="Arial" w:hAnsi="Arial" w:cs="Arial"/>
                <w:b/>
                <w:sz w:val="17"/>
                <w:szCs w:val="17"/>
              </w:rPr>
              <w:t xml:space="preserve">11,732,187,826 </w:t>
            </w:r>
          </w:p>
        </w:tc>
      </w:tr>
    </w:tbl>
    <w:p w:rsidR="00AC18F1" w:rsidRDefault="00AC18F1" w:rsidP="00E856ED">
      <w:pPr>
        <w:spacing w:before="80" w:line="250" w:lineRule="exact"/>
        <w:ind w:left="709"/>
        <w:jc w:val="both"/>
        <w:rPr>
          <w:rFonts w:ascii="Arial" w:eastAsia="Calibri" w:hAnsi="Arial" w:cs="Arial"/>
          <w:spacing w:val="-1"/>
          <w:sz w:val="17"/>
          <w:szCs w:val="17"/>
        </w:rPr>
      </w:pPr>
    </w:p>
    <w:p w:rsidR="00B8192E" w:rsidRDefault="00B8192E">
      <w:pPr>
        <w:rPr>
          <w:rFonts w:ascii="Arial" w:eastAsia="Calibri" w:hAnsi="Arial" w:cs="Arial"/>
          <w:b/>
          <w:spacing w:val="-1"/>
          <w:sz w:val="17"/>
          <w:szCs w:val="17"/>
          <w:highlight w:val="yellow"/>
        </w:rPr>
      </w:pPr>
    </w:p>
    <w:p w:rsidR="006335BE" w:rsidRPr="00B8192E" w:rsidRDefault="006335BE" w:rsidP="00795E45">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sidRPr="00B8192E">
        <w:rPr>
          <w:rFonts w:ascii="Arial" w:eastAsia="Calibri" w:hAnsi="Arial" w:cs="Arial"/>
          <w:b/>
          <w:spacing w:val="-1"/>
          <w:sz w:val="17"/>
          <w:szCs w:val="17"/>
        </w:rPr>
        <w:t xml:space="preserve">Bienes </w:t>
      </w:r>
      <w:r w:rsidR="008E1BD8" w:rsidRPr="00B8192E">
        <w:rPr>
          <w:rFonts w:ascii="Arial" w:eastAsia="Calibri" w:hAnsi="Arial" w:cs="Arial"/>
          <w:b/>
          <w:spacing w:val="-1"/>
          <w:sz w:val="17"/>
          <w:szCs w:val="17"/>
        </w:rPr>
        <w:t>m</w:t>
      </w:r>
      <w:r w:rsidR="00901A13" w:rsidRPr="00B8192E">
        <w:rPr>
          <w:rFonts w:ascii="Arial" w:eastAsia="Calibri" w:hAnsi="Arial" w:cs="Arial"/>
          <w:b/>
          <w:spacing w:val="-1"/>
          <w:sz w:val="17"/>
          <w:szCs w:val="17"/>
        </w:rPr>
        <w:t>uebles</w:t>
      </w:r>
    </w:p>
    <w:p w:rsidR="007F7800" w:rsidRDefault="007F7800" w:rsidP="00E856ED">
      <w:pPr>
        <w:spacing w:before="80" w:line="250" w:lineRule="exact"/>
        <w:ind w:left="709"/>
        <w:jc w:val="both"/>
        <w:rPr>
          <w:rFonts w:ascii="Arial" w:eastAsia="Calibri" w:hAnsi="Arial" w:cs="Arial"/>
          <w:spacing w:val="-1"/>
          <w:sz w:val="17"/>
          <w:szCs w:val="17"/>
        </w:rPr>
      </w:pPr>
      <w:r w:rsidRPr="007F7800">
        <w:rPr>
          <w:rFonts w:ascii="Arial" w:eastAsia="Calibri" w:hAnsi="Arial" w:cs="Arial"/>
          <w:spacing w:val="-1"/>
          <w:sz w:val="17"/>
          <w:szCs w:val="17"/>
        </w:rPr>
        <w:t xml:space="preserve">Se informa </w:t>
      </w:r>
      <w:r w:rsidR="002864C0">
        <w:rPr>
          <w:rFonts w:ascii="Arial" w:eastAsia="Calibri" w:hAnsi="Arial" w:cs="Arial"/>
          <w:spacing w:val="-1"/>
          <w:sz w:val="17"/>
          <w:szCs w:val="17"/>
        </w:rPr>
        <w:t xml:space="preserve">el saldo de la cuenta </w:t>
      </w:r>
      <w:r w:rsidRPr="007F7800">
        <w:rPr>
          <w:rFonts w:ascii="Arial" w:eastAsia="Calibri" w:hAnsi="Arial" w:cs="Arial"/>
          <w:spacing w:val="-1"/>
          <w:sz w:val="17"/>
          <w:szCs w:val="17"/>
        </w:rPr>
        <w:t xml:space="preserve">de Bienes Muebles, al 31 de diciembre del </w:t>
      </w:r>
      <w:r w:rsidR="00FD7D84">
        <w:rPr>
          <w:rFonts w:ascii="Arial" w:eastAsia="Calibri" w:hAnsi="Arial" w:cs="Arial"/>
          <w:spacing w:val="-1"/>
          <w:sz w:val="17"/>
          <w:szCs w:val="17"/>
        </w:rPr>
        <w:t>2020</w:t>
      </w:r>
      <w:r w:rsidR="00766637">
        <w:rPr>
          <w:rFonts w:ascii="Arial" w:eastAsia="Calibri" w:hAnsi="Arial" w:cs="Arial"/>
          <w:spacing w:val="-1"/>
          <w:sz w:val="17"/>
          <w:szCs w:val="17"/>
        </w:rPr>
        <w:t>:</w:t>
      </w:r>
    </w:p>
    <w:p w:rsidR="002366A1" w:rsidRPr="00785016" w:rsidRDefault="002366A1" w:rsidP="002366A1">
      <w:pPr>
        <w:autoSpaceDE w:val="0"/>
        <w:autoSpaceDN w:val="0"/>
        <w:adjustRightInd w:val="0"/>
        <w:spacing w:before="240" w:after="120"/>
        <w:ind w:left="360"/>
        <w:jc w:val="center"/>
        <w:rPr>
          <w:rFonts w:ascii="Arial" w:eastAsia="Calibri" w:hAnsi="Arial" w:cs="Arial"/>
          <w:b/>
          <w:spacing w:val="-1"/>
          <w:sz w:val="17"/>
          <w:szCs w:val="17"/>
        </w:rPr>
      </w:pPr>
      <w:r w:rsidRPr="00785016">
        <w:rPr>
          <w:rFonts w:ascii="Arial" w:eastAsia="Calibri" w:hAnsi="Arial" w:cs="Arial"/>
          <w:b/>
          <w:spacing w:val="-1"/>
          <w:sz w:val="17"/>
          <w:szCs w:val="17"/>
        </w:rPr>
        <w:t>(Pesos)</w:t>
      </w:r>
    </w:p>
    <w:tbl>
      <w:tblPr>
        <w:tblW w:w="9265" w:type="dxa"/>
        <w:jc w:val="center"/>
        <w:tblCellMar>
          <w:left w:w="70" w:type="dxa"/>
          <w:right w:w="70" w:type="dxa"/>
        </w:tblCellMar>
        <w:tblLook w:val="04A0" w:firstRow="1" w:lastRow="0" w:firstColumn="1" w:lastColumn="0" w:noHBand="0" w:noVBand="1"/>
        <w:tblDescription w:val="monto"/>
      </w:tblPr>
      <w:tblGrid>
        <w:gridCol w:w="4903"/>
        <w:gridCol w:w="2181"/>
        <w:gridCol w:w="2181"/>
      </w:tblGrid>
      <w:tr w:rsidR="002366A1" w:rsidRPr="002D70DA" w:rsidTr="00773736">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2366A1" w:rsidRPr="002D70DA" w:rsidRDefault="002366A1" w:rsidP="00FE0D85">
            <w:pPr>
              <w:jc w:val="center"/>
              <w:rPr>
                <w:rFonts w:ascii="Arial" w:hAnsi="Arial" w:cs="Arial"/>
                <w:b/>
                <w:bCs/>
                <w:color w:val="000000"/>
                <w:sz w:val="17"/>
                <w:szCs w:val="17"/>
              </w:rPr>
            </w:pPr>
            <w:r>
              <w:rPr>
                <w:rFonts w:ascii="Arial" w:hAnsi="Arial" w:cs="Arial"/>
                <w:b/>
                <w:bCs/>
                <w:color w:val="000000"/>
                <w:sz w:val="17"/>
                <w:szCs w:val="17"/>
              </w:rPr>
              <w:t>Concepto</w:t>
            </w:r>
            <w:r w:rsidRPr="002D70DA">
              <w:rPr>
                <w:rFonts w:ascii="Arial" w:hAnsi="Arial" w:cs="Arial"/>
                <w:b/>
                <w:bCs/>
                <w:color w:val="000000"/>
                <w:sz w:val="17"/>
                <w:szCs w:val="17"/>
              </w:rPr>
              <w:t>:</w:t>
            </w:r>
          </w:p>
        </w:tc>
        <w:tc>
          <w:tcPr>
            <w:tcW w:w="218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2366A1" w:rsidRPr="002D70DA" w:rsidRDefault="00FD7D84" w:rsidP="00FE0D85">
            <w:pPr>
              <w:jc w:val="center"/>
              <w:rPr>
                <w:rFonts w:ascii="Arial" w:hAnsi="Arial" w:cs="Arial"/>
                <w:b/>
                <w:bCs/>
                <w:color w:val="000000"/>
                <w:sz w:val="17"/>
                <w:szCs w:val="17"/>
              </w:rPr>
            </w:pPr>
            <w:r>
              <w:rPr>
                <w:rFonts w:ascii="Arial" w:hAnsi="Arial" w:cs="Arial"/>
                <w:b/>
                <w:bCs/>
                <w:color w:val="000000"/>
                <w:sz w:val="17"/>
                <w:szCs w:val="17"/>
              </w:rPr>
              <w:t>2020</w:t>
            </w:r>
          </w:p>
        </w:tc>
        <w:tc>
          <w:tcPr>
            <w:tcW w:w="218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2366A1" w:rsidRPr="002D70DA" w:rsidRDefault="00FD7D84" w:rsidP="00FE0D85">
            <w:pPr>
              <w:jc w:val="center"/>
              <w:rPr>
                <w:rFonts w:ascii="Arial" w:hAnsi="Arial" w:cs="Arial"/>
                <w:b/>
                <w:bCs/>
                <w:color w:val="000000"/>
                <w:sz w:val="17"/>
                <w:szCs w:val="17"/>
              </w:rPr>
            </w:pPr>
            <w:r>
              <w:rPr>
                <w:rFonts w:ascii="Arial" w:hAnsi="Arial" w:cs="Arial"/>
                <w:b/>
                <w:bCs/>
                <w:color w:val="000000"/>
                <w:sz w:val="17"/>
                <w:szCs w:val="17"/>
              </w:rPr>
              <w:t>2019</w:t>
            </w:r>
          </w:p>
        </w:tc>
      </w:tr>
      <w:tr w:rsidR="00773736" w:rsidRPr="002D70DA" w:rsidTr="00773736">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auto"/>
          </w:tcPr>
          <w:p w:rsidR="00773736" w:rsidRPr="00186E15" w:rsidRDefault="00773736" w:rsidP="00773736">
            <w:pPr>
              <w:rPr>
                <w:rFonts w:ascii="Arial" w:hAnsi="Arial" w:cs="Arial"/>
                <w:sz w:val="17"/>
                <w:szCs w:val="17"/>
              </w:rPr>
            </w:pPr>
            <w:r w:rsidRPr="00186E15">
              <w:rPr>
                <w:rFonts w:ascii="Arial" w:hAnsi="Arial" w:cs="Arial"/>
                <w:sz w:val="17"/>
                <w:szCs w:val="17"/>
              </w:rPr>
              <w:t>Mobiliario y Equipo de Administración</w:t>
            </w:r>
          </w:p>
        </w:tc>
        <w:tc>
          <w:tcPr>
            <w:tcW w:w="2181"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sz w:val="17"/>
                <w:szCs w:val="17"/>
              </w:rPr>
            </w:pPr>
            <w:r w:rsidRPr="00773736">
              <w:rPr>
                <w:rFonts w:ascii="Arial" w:hAnsi="Arial" w:cs="Arial"/>
                <w:sz w:val="17"/>
                <w:szCs w:val="17"/>
              </w:rPr>
              <w:t xml:space="preserve">1,398,962,035 </w:t>
            </w:r>
          </w:p>
        </w:tc>
        <w:tc>
          <w:tcPr>
            <w:tcW w:w="2181"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sz w:val="17"/>
                <w:szCs w:val="17"/>
              </w:rPr>
            </w:pPr>
            <w:r w:rsidRPr="00773736">
              <w:rPr>
                <w:rFonts w:ascii="Arial" w:hAnsi="Arial" w:cs="Arial"/>
                <w:sz w:val="17"/>
                <w:szCs w:val="17"/>
              </w:rPr>
              <w:t xml:space="preserve"> 1,338,156,120 </w:t>
            </w:r>
          </w:p>
        </w:tc>
      </w:tr>
      <w:tr w:rsidR="00773736" w:rsidRPr="002D70DA" w:rsidTr="00773736">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auto"/>
          </w:tcPr>
          <w:p w:rsidR="00773736" w:rsidRPr="00186E15" w:rsidRDefault="00773736" w:rsidP="00773736">
            <w:pPr>
              <w:rPr>
                <w:rFonts w:ascii="Arial" w:hAnsi="Arial" w:cs="Arial"/>
                <w:sz w:val="17"/>
                <w:szCs w:val="17"/>
              </w:rPr>
            </w:pPr>
            <w:r w:rsidRPr="00186E15">
              <w:rPr>
                <w:rFonts w:ascii="Arial" w:hAnsi="Arial" w:cs="Arial"/>
                <w:sz w:val="17"/>
                <w:szCs w:val="17"/>
              </w:rPr>
              <w:t>Mobiliario y Equipo Educacional y Recreativo</w:t>
            </w:r>
          </w:p>
        </w:tc>
        <w:tc>
          <w:tcPr>
            <w:tcW w:w="2181"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sz w:val="17"/>
                <w:szCs w:val="17"/>
              </w:rPr>
            </w:pPr>
            <w:r w:rsidRPr="00773736">
              <w:rPr>
                <w:rFonts w:ascii="Arial" w:hAnsi="Arial" w:cs="Arial"/>
                <w:sz w:val="17"/>
                <w:szCs w:val="17"/>
              </w:rPr>
              <w:t xml:space="preserve">89,017,359 </w:t>
            </w:r>
          </w:p>
        </w:tc>
        <w:tc>
          <w:tcPr>
            <w:tcW w:w="2181"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sz w:val="17"/>
                <w:szCs w:val="17"/>
              </w:rPr>
            </w:pPr>
            <w:r w:rsidRPr="00773736">
              <w:rPr>
                <w:rFonts w:ascii="Arial" w:hAnsi="Arial" w:cs="Arial"/>
                <w:sz w:val="17"/>
                <w:szCs w:val="17"/>
              </w:rPr>
              <w:t xml:space="preserve"> 90,992,038 </w:t>
            </w:r>
          </w:p>
        </w:tc>
      </w:tr>
      <w:tr w:rsidR="00773736" w:rsidRPr="002D70DA" w:rsidTr="00773736">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auto"/>
          </w:tcPr>
          <w:p w:rsidR="00773736" w:rsidRPr="00186E15" w:rsidRDefault="00773736" w:rsidP="00773736">
            <w:pPr>
              <w:rPr>
                <w:rFonts w:ascii="Arial" w:hAnsi="Arial" w:cs="Arial"/>
                <w:sz w:val="17"/>
                <w:szCs w:val="17"/>
              </w:rPr>
            </w:pPr>
            <w:r w:rsidRPr="00186E15">
              <w:rPr>
                <w:rFonts w:ascii="Arial" w:hAnsi="Arial" w:cs="Arial"/>
                <w:sz w:val="17"/>
                <w:szCs w:val="17"/>
              </w:rPr>
              <w:t>Equipo e Instrumental Médico y de Laboratorio</w:t>
            </w:r>
          </w:p>
        </w:tc>
        <w:tc>
          <w:tcPr>
            <w:tcW w:w="2181"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sz w:val="17"/>
                <w:szCs w:val="17"/>
              </w:rPr>
            </w:pPr>
            <w:r w:rsidRPr="00773736">
              <w:rPr>
                <w:rFonts w:ascii="Arial" w:hAnsi="Arial" w:cs="Arial"/>
                <w:sz w:val="17"/>
                <w:szCs w:val="17"/>
              </w:rPr>
              <w:t xml:space="preserve">76,707,130 </w:t>
            </w:r>
          </w:p>
        </w:tc>
        <w:tc>
          <w:tcPr>
            <w:tcW w:w="2181"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sz w:val="17"/>
                <w:szCs w:val="17"/>
              </w:rPr>
            </w:pPr>
            <w:r w:rsidRPr="00773736">
              <w:rPr>
                <w:rFonts w:ascii="Arial" w:hAnsi="Arial" w:cs="Arial"/>
                <w:sz w:val="17"/>
                <w:szCs w:val="17"/>
              </w:rPr>
              <w:t xml:space="preserve"> 51,765,849 </w:t>
            </w:r>
          </w:p>
        </w:tc>
      </w:tr>
      <w:tr w:rsidR="00773736" w:rsidRPr="002D70DA" w:rsidTr="00773736">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auto"/>
          </w:tcPr>
          <w:p w:rsidR="00773736" w:rsidRPr="00186E15" w:rsidRDefault="00773736" w:rsidP="00773736">
            <w:pPr>
              <w:rPr>
                <w:rFonts w:ascii="Arial" w:hAnsi="Arial" w:cs="Arial"/>
                <w:sz w:val="17"/>
                <w:szCs w:val="17"/>
              </w:rPr>
            </w:pPr>
            <w:r w:rsidRPr="00186E15">
              <w:rPr>
                <w:rFonts w:ascii="Arial" w:hAnsi="Arial" w:cs="Arial"/>
                <w:sz w:val="17"/>
                <w:szCs w:val="17"/>
              </w:rPr>
              <w:t>Vehículos y Equipo de Transporte</w:t>
            </w:r>
          </w:p>
        </w:tc>
        <w:tc>
          <w:tcPr>
            <w:tcW w:w="2181"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sz w:val="17"/>
                <w:szCs w:val="17"/>
              </w:rPr>
            </w:pPr>
            <w:r w:rsidRPr="00773736">
              <w:rPr>
                <w:rFonts w:ascii="Arial" w:hAnsi="Arial" w:cs="Arial"/>
                <w:sz w:val="17"/>
                <w:szCs w:val="17"/>
              </w:rPr>
              <w:t xml:space="preserve">1,263,070,189 </w:t>
            </w:r>
          </w:p>
        </w:tc>
        <w:tc>
          <w:tcPr>
            <w:tcW w:w="2181"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sz w:val="17"/>
                <w:szCs w:val="17"/>
              </w:rPr>
            </w:pPr>
            <w:r w:rsidRPr="00773736">
              <w:rPr>
                <w:rFonts w:ascii="Arial" w:hAnsi="Arial" w:cs="Arial"/>
                <w:sz w:val="17"/>
                <w:szCs w:val="17"/>
              </w:rPr>
              <w:t xml:space="preserve"> 1,251,528,103 </w:t>
            </w:r>
          </w:p>
        </w:tc>
      </w:tr>
      <w:tr w:rsidR="00773736" w:rsidRPr="002D70DA" w:rsidTr="00773736">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auto"/>
          </w:tcPr>
          <w:p w:rsidR="00773736" w:rsidRPr="00186E15" w:rsidRDefault="00773736" w:rsidP="00773736">
            <w:pPr>
              <w:rPr>
                <w:rFonts w:ascii="Arial" w:hAnsi="Arial" w:cs="Arial"/>
                <w:sz w:val="17"/>
                <w:szCs w:val="17"/>
              </w:rPr>
            </w:pPr>
            <w:r w:rsidRPr="00186E15">
              <w:rPr>
                <w:rFonts w:ascii="Arial" w:hAnsi="Arial" w:cs="Arial"/>
                <w:sz w:val="17"/>
                <w:szCs w:val="17"/>
              </w:rPr>
              <w:t>Equipo de Defensa y Seguridad</w:t>
            </w:r>
          </w:p>
        </w:tc>
        <w:tc>
          <w:tcPr>
            <w:tcW w:w="2181"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sz w:val="17"/>
                <w:szCs w:val="17"/>
              </w:rPr>
            </w:pPr>
            <w:r w:rsidRPr="00773736">
              <w:rPr>
                <w:rFonts w:ascii="Arial" w:hAnsi="Arial" w:cs="Arial"/>
                <w:sz w:val="17"/>
                <w:szCs w:val="17"/>
              </w:rPr>
              <w:t xml:space="preserve">74,991,463 </w:t>
            </w:r>
          </w:p>
        </w:tc>
        <w:tc>
          <w:tcPr>
            <w:tcW w:w="2181"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sz w:val="17"/>
                <w:szCs w:val="17"/>
              </w:rPr>
            </w:pPr>
            <w:r w:rsidRPr="00773736">
              <w:rPr>
                <w:rFonts w:ascii="Arial" w:hAnsi="Arial" w:cs="Arial"/>
                <w:sz w:val="17"/>
                <w:szCs w:val="17"/>
              </w:rPr>
              <w:t xml:space="preserve"> 80,216,041 </w:t>
            </w:r>
          </w:p>
        </w:tc>
      </w:tr>
      <w:tr w:rsidR="00773736" w:rsidRPr="002D70DA" w:rsidTr="00773736">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auto"/>
          </w:tcPr>
          <w:p w:rsidR="00773736" w:rsidRPr="00186E15" w:rsidRDefault="00773736" w:rsidP="00773736">
            <w:pPr>
              <w:rPr>
                <w:rFonts w:ascii="Arial" w:hAnsi="Arial" w:cs="Arial"/>
                <w:sz w:val="17"/>
                <w:szCs w:val="17"/>
              </w:rPr>
            </w:pPr>
            <w:r w:rsidRPr="00186E15">
              <w:rPr>
                <w:rFonts w:ascii="Arial" w:hAnsi="Arial" w:cs="Arial"/>
                <w:sz w:val="17"/>
                <w:szCs w:val="17"/>
              </w:rPr>
              <w:t>Maquinaria, Otros Equipos y Herramientas</w:t>
            </w:r>
          </w:p>
        </w:tc>
        <w:tc>
          <w:tcPr>
            <w:tcW w:w="2181"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sz w:val="17"/>
                <w:szCs w:val="17"/>
              </w:rPr>
            </w:pPr>
            <w:r w:rsidRPr="00773736">
              <w:rPr>
                <w:rFonts w:ascii="Arial" w:hAnsi="Arial" w:cs="Arial"/>
                <w:sz w:val="17"/>
                <w:szCs w:val="17"/>
              </w:rPr>
              <w:t xml:space="preserve">512,251,222 </w:t>
            </w:r>
          </w:p>
        </w:tc>
        <w:tc>
          <w:tcPr>
            <w:tcW w:w="2181"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sz w:val="17"/>
                <w:szCs w:val="17"/>
              </w:rPr>
            </w:pPr>
            <w:r w:rsidRPr="00773736">
              <w:rPr>
                <w:rFonts w:ascii="Arial" w:hAnsi="Arial" w:cs="Arial"/>
                <w:sz w:val="17"/>
                <w:szCs w:val="17"/>
              </w:rPr>
              <w:t xml:space="preserve"> 529,052,632 </w:t>
            </w:r>
          </w:p>
        </w:tc>
      </w:tr>
      <w:tr w:rsidR="00773736" w:rsidRPr="002D70DA" w:rsidTr="00773736">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auto"/>
          </w:tcPr>
          <w:p w:rsidR="00773736" w:rsidRPr="00186E15" w:rsidRDefault="00773736" w:rsidP="00773736">
            <w:pPr>
              <w:rPr>
                <w:rFonts w:ascii="Arial" w:hAnsi="Arial" w:cs="Arial"/>
                <w:sz w:val="17"/>
                <w:szCs w:val="17"/>
              </w:rPr>
            </w:pPr>
            <w:r w:rsidRPr="00186E15">
              <w:rPr>
                <w:rFonts w:ascii="Arial" w:hAnsi="Arial" w:cs="Arial"/>
                <w:sz w:val="17"/>
                <w:szCs w:val="17"/>
              </w:rPr>
              <w:t>Colecciones, Obras de Arte y Objetos Valiosos</w:t>
            </w:r>
          </w:p>
        </w:tc>
        <w:tc>
          <w:tcPr>
            <w:tcW w:w="2181"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sz w:val="17"/>
                <w:szCs w:val="17"/>
              </w:rPr>
            </w:pPr>
            <w:r w:rsidRPr="00773736">
              <w:rPr>
                <w:rFonts w:ascii="Arial" w:hAnsi="Arial" w:cs="Arial"/>
                <w:sz w:val="17"/>
                <w:szCs w:val="17"/>
              </w:rPr>
              <w:t xml:space="preserve">31,915,905 </w:t>
            </w:r>
          </w:p>
        </w:tc>
        <w:tc>
          <w:tcPr>
            <w:tcW w:w="2181"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sz w:val="17"/>
                <w:szCs w:val="17"/>
              </w:rPr>
            </w:pPr>
            <w:r w:rsidRPr="00773736">
              <w:rPr>
                <w:rFonts w:ascii="Arial" w:hAnsi="Arial" w:cs="Arial"/>
                <w:sz w:val="17"/>
                <w:szCs w:val="17"/>
              </w:rPr>
              <w:t xml:space="preserve"> 31,917,946 </w:t>
            </w:r>
          </w:p>
        </w:tc>
      </w:tr>
      <w:tr w:rsidR="00773736" w:rsidRPr="002D70DA" w:rsidTr="00773736">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auto"/>
          </w:tcPr>
          <w:p w:rsidR="00773736" w:rsidRPr="00186E15" w:rsidRDefault="00773736" w:rsidP="00773736">
            <w:pPr>
              <w:rPr>
                <w:rFonts w:ascii="Arial" w:hAnsi="Arial" w:cs="Arial"/>
                <w:sz w:val="17"/>
                <w:szCs w:val="17"/>
              </w:rPr>
            </w:pPr>
            <w:r w:rsidRPr="00186E15">
              <w:rPr>
                <w:rFonts w:ascii="Arial" w:hAnsi="Arial" w:cs="Arial"/>
                <w:sz w:val="17"/>
                <w:szCs w:val="17"/>
              </w:rPr>
              <w:t>Activos Biológicos</w:t>
            </w:r>
          </w:p>
        </w:tc>
        <w:tc>
          <w:tcPr>
            <w:tcW w:w="2181"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sz w:val="17"/>
                <w:szCs w:val="17"/>
              </w:rPr>
            </w:pPr>
            <w:r w:rsidRPr="00773736">
              <w:rPr>
                <w:rFonts w:ascii="Arial" w:hAnsi="Arial" w:cs="Arial"/>
                <w:sz w:val="17"/>
                <w:szCs w:val="17"/>
              </w:rPr>
              <w:t xml:space="preserve">924,000 </w:t>
            </w:r>
          </w:p>
        </w:tc>
        <w:tc>
          <w:tcPr>
            <w:tcW w:w="2181"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sz w:val="17"/>
                <w:szCs w:val="17"/>
              </w:rPr>
            </w:pPr>
            <w:r w:rsidRPr="00773736">
              <w:rPr>
                <w:rFonts w:ascii="Arial" w:hAnsi="Arial" w:cs="Arial"/>
                <w:sz w:val="17"/>
                <w:szCs w:val="17"/>
              </w:rPr>
              <w:t xml:space="preserve"> 924,000 </w:t>
            </w:r>
          </w:p>
        </w:tc>
      </w:tr>
      <w:tr w:rsidR="00773736" w:rsidRPr="002D70DA" w:rsidTr="00773736">
        <w:trPr>
          <w:trHeight w:val="240"/>
          <w:jc w:val="center"/>
        </w:trPr>
        <w:tc>
          <w:tcPr>
            <w:tcW w:w="4903" w:type="dxa"/>
            <w:tcBorders>
              <w:top w:val="nil"/>
              <w:left w:val="nil"/>
              <w:bottom w:val="nil"/>
              <w:right w:val="single" w:sz="4" w:space="0" w:color="auto"/>
            </w:tcBorders>
            <w:shd w:val="clear" w:color="000000" w:fill="FFFFFF"/>
            <w:vAlign w:val="center"/>
            <w:hideMark/>
          </w:tcPr>
          <w:p w:rsidR="00773736" w:rsidRPr="002D70DA" w:rsidRDefault="00773736" w:rsidP="00773736">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1" w:type="dxa"/>
            <w:tcBorders>
              <w:top w:val="single" w:sz="4" w:space="0" w:color="auto"/>
              <w:left w:val="single" w:sz="4" w:space="0" w:color="auto"/>
              <w:bottom w:val="single" w:sz="4" w:space="0" w:color="auto"/>
              <w:right w:val="nil"/>
            </w:tcBorders>
            <w:shd w:val="clear" w:color="000000" w:fill="FFFFFF"/>
          </w:tcPr>
          <w:p w:rsidR="00773736" w:rsidRPr="00186E15" w:rsidRDefault="00773736" w:rsidP="00773736">
            <w:pPr>
              <w:jc w:val="right"/>
              <w:rPr>
                <w:rFonts w:ascii="Arial" w:hAnsi="Arial" w:cs="Arial"/>
                <w:b/>
                <w:sz w:val="17"/>
                <w:szCs w:val="17"/>
              </w:rPr>
            </w:pPr>
            <w:r w:rsidRPr="00773736">
              <w:rPr>
                <w:rFonts w:ascii="Arial" w:hAnsi="Arial" w:cs="Arial"/>
                <w:b/>
                <w:sz w:val="17"/>
                <w:szCs w:val="17"/>
              </w:rPr>
              <w:t>3,447,839,303</w:t>
            </w:r>
          </w:p>
        </w:tc>
        <w:tc>
          <w:tcPr>
            <w:tcW w:w="2181" w:type="dxa"/>
            <w:tcBorders>
              <w:top w:val="nil"/>
              <w:left w:val="single" w:sz="4" w:space="0" w:color="auto"/>
              <w:bottom w:val="single" w:sz="4" w:space="0" w:color="auto"/>
              <w:right w:val="single" w:sz="4" w:space="0" w:color="auto"/>
            </w:tcBorders>
            <w:shd w:val="clear" w:color="000000" w:fill="FFFFFF"/>
          </w:tcPr>
          <w:p w:rsidR="00773736" w:rsidRPr="00773736" w:rsidRDefault="00773736" w:rsidP="00773736">
            <w:pPr>
              <w:jc w:val="right"/>
              <w:rPr>
                <w:rFonts w:ascii="Arial" w:hAnsi="Arial" w:cs="Arial"/>
                <w:b/>
                <w:sz w:val="17"/>
                <w:szCs w:val="17"/>
              </w:rPr>
            </w:pPr>
            <w:r w:rsidRPr="00773736">
              <w:rPr>
                <w:rFonts w:ascii="Arial" w:hAnsi="Arial" w:cs="Arial"/>
                <w:b/>
                <w:sz w:val="17"/>
                <w:szCs w:val="17"/>
              </w:rPr>
              <w:t xml:space="preserve"> 3,374,552,729 </w:t>
            </w:r>
          </w:p>
        </w:tc>
      </w:tr>
    </w:tbl>
    <w:p w:rsidR="001B5113" w:rsidRDefault="001B5113" w:rsidP="001B5113">
      <w:pPr>
        <w:autoSpaceDE w:val="0"/>
        <w:autoSpaceDN w:val="0"/>
        <w:adjustRightInd w:val="0"/>
        <w:spacing w:before="240" w:after="120"/>
        <w:ind w:left="709"/>
        <w:rPr>
          <w:rFonts w:ascii="Arial" w:eastAsia="Calibri" w:hAnsi="Arial" w:cs="Arial"/>
          <w:spacing w:val="-1"/>
          <w:sz w:val="17"/>
          <w:szCs w:val="17"/>
        </w:rPr>
      </w:pPr>
      <w:r w:rsidRPr="00D33F92">
        <w:rPr>
          <w:rFonts w:ascii="Arial" w:eastAsia="Calibri" w:hAnsi="Arial" w:cs="Arial"/>
          <w:spacing w:val="-1"/>
          <w:sz w:val="17"/>
          <w:szCs w:val="17"/>
        </w:rPr>
        <w:t>El incremento obedece principalmente a</w:t>
      </w:r>
      <w:r>
        <w:rPr>
          <w:rFonts w:ascii="Arial" w:eastAsia="Calibri" w:hAnsi="Arial" w:cs="Arial"/>
          <w:spacing w:val="-1"/>
          <w:sz w:val="17"/>
          <w:szCs w:val="17"/>
        </w:rPr>
        <w:t xml:space="preserve"> la incorporación de </w:t>
      </w:r>
      <w:r w:rsidR="00773736" w:rsidRPr="00773736">
        <w:rPr>
          <w:rFonts w:ascii="Arial" w:eastAsia="Calibri" w:hAnsi="Arial" w:cs="Arial"/>
          <w:spacing w:val="-1"/>
          <w:sz w:val="17"/>
          <w:szCs w:val="17"/>
        </w:rPr>
        <w:t>Mobiliario y Equipo de Administración</w:t>
      </w:r>
      <w:r>
        <w:rPr>
          <w:rFonts w:ascii="Arial" w:eastAsia="Calibri" w:hAnsi="Arial" w:cs="Arial"/>
          <w:spacing w:val="-1"/>
          <w:sz w:val="17"/>
          <w:szCs w:val="17"/>
        </w:rPr>
        <w:t xml:space="preserve"> al Poder Ejecutivo</w:t>
      </w:r>
      <w:r w:rsidRPr="00D33F92">
        <w:rPr>
          <w:rFonts w:ascii="Arial" w:eastAsia="Calibri" w:hAnsi="Arial" w:cs="Arial"/>
          <w:spacing w:val="-1"/>
          <w:sz w:val="17"/>
          <w:szCs w:val="17"/>
        </w:rPr>
        <w:t>.</w:t>
      </w:r>
    </w:p>
    <w:p w:rsidR="00FB2635" w:rsidRDefault="00FB2635" w:rsidP="00FB2635">
      <w:pPr>
        <w:autoSpaceDE w:val="0"/>
        <w:autoSpaceDN w:val="0"/>
        <w:adjustRightInd w:val="0"/>
        <w:spacing w:before="240" w:after="120"/>
        <w:ind w:left="709"/>
        <w:rPr>
          <w:rFonts w:ascii="Arial" w:eastAsia="Calibri" w:hAnsi="Arial" w:cs="Arial"/>
          <w:spacing w:val="-1"/>
          <w:sz w:val="17"/>
          <w:szCs w:val="17"/>
        </w:rPr>
      </w:pPr>
    </w:p>
    <w:p w:rsidR="00186E15" w:rsidRDefault="00186E15">
      <w:pPr>
        <w:rPr>
          <w:rFonts w:ascii="Arial" w:eastAsia="Calibri" w:hAnsi="Arial" w:cs="Arial"/>
          <w:spacing w:val="-1"/>
          <w:sz w:val="17"/>
          <w:szCs w:val="17"/>
        </w:rPr>
      </w:pPr>
      <w:r>
        <w:rPr>
          <w:rFonts w:ascii="Arial" w:eastAsia="Calibri" w:hAnsi="Arial" w:cs="Arial"/>
          <w:spacing w:val="-1"/>
          <w:sz w:val="17"/>
          <w:szCs w:val="17"/>
        </w:rPr>
        <w:br w:type="page"/>
      </w:r>
    </w:p>
    <w:p w:rsidR="00FB2635" w:rsidRDefault="00FB2635" w:rsidP="00FB2635">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lastRenderedPageBreak/>
        <w:t>El cual está distribuido de la siguiente manera:</w:t>
      </w:r>
    </w:p>
    <w:p w:rsidR="002366A1" w:rsidRPr="007F7800" w:rsidRDefault="002366A1" w:rsidP="00E856ED">
      <w:pPr>
        <w:spacing w:before="80" w:line="250" w:lineRule="exact"/>
        <w:ind w:left="709"/>
        <w:jc w:val="both"/>
        <w:rPr>
          <w:rFonts w:ascii="Arial" w:eastAsia="Calibri" w:hAnsi="Arial" w:cs="Arial"/>
          <w:spacing w:val="-1"/>
          <w:sz w:val="17"/>
          <w:szCs w:val="17"/>
        </w:rPr>
      </w:pPr>
    </w:p>
    <w:p w:rsidR="006C5505" w:rsidRPr="002D70DA" w:rsidRDefault="00766637" w:rsidP="006C5505">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 xml:space="preserve"> </w:t>
      </w:r>
      <w:r w:rsidR="006C5505"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B24422" w:rsidRPr="002D70DA" w:rsidTr="0077373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24422" w:rsidRPr="002D70DA" w:rsidRDefault="00B24422" w:rsidP="00F338A3">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24422"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24422"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2019</w:t>
            </w:r>
          </w:p>
        </w:tc>
      </w:tr>
      <w:tr w:rsidR="00773736" w:rsidRPr="002D70DA" w:rsidTr="0077373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73736" w:rsidRPr="00C34218" w:rsidRDefault="00773736" w:rsidP="00773736">
            <w:pPr>
              <w:rPr>
                <w:rFonts w:ascii="Arial" w:hAnsi="Arial" w:cs="Arial"/>
                <w:b/>
                <w:sz w:val="17"/>
                <w:szCs w:val="17"/>
              </w:rPr>
            </w:pPr>
            <w:r w:rsidRPr="00C34218">
              <w:rPr>
                <w:rFonts w:ascii="Arial" w:hAnsi="Arial" w:cs="Arial"/>
                <w:b/>
                <w:sz w:val="17"/>
                <w:szCs w:val="17"/>
              </w:rPr>
              <w:t>Poder Ejecutivo</w:t>
            </w:r>
          </w:p>
        </w:tc>
        <w:tc>
          <w:tcPr>
            <w:tcW w:w="2180"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b/>
                <w:sz w:val="17"/>
                <w:szCs w:val="17"/>
              </w:rPr>
            </w:pPr>
            <w:r w:rsidRPr="00773736">
              <w:rPr>
                <w:rFonts w:ascii="Arial" w:hAnsi="Arial" w:cs="Arial"/>
                <w:b/>
                <w:sz w:val="17"/>
                <w:szCs w:val="17"/>
              </w:rPr>
              <w:t xml:space="preserve">2,721,727,733 </w:t>
            </w:r>
          </w:p>
        </w:tc>
        <w:tc>
          <w:tcPr>
            <w:tcW w:w="2180"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b/>
                <w:sz w:val="17"/>
                <w:szCs w:val="17"/>
              </w:rPr>
            </w:pPr>
            <w:r w:rsidRPr="00773736">
              <w:rPr>
                <w:rFonts w:ascii="Arial" w:hAnsi="Arial" w:cs="Arial"/>
                <w:b/>
                <w:sz w:val="17"/>
                <w:szCs w:val="17"/>
              </w:rPr>
              <w:t xml:space="preserve">2,659,786,929 </w:t>
            </w:r>
          </w:p>
        </w:tc>
      </w:tr>
      <w:tr w:rsidR="00773736" w:rsidRPr="002D70DA" w:rsidTr="0077373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73736" w:rsidRPr="00C34218" w:rsidRDefault="00773736" w:rsidP="00773736">
            <w:pPr>
              <w:rPr>
                <w:rFonts w:ascii="Arial" w:hAnsi="Arial" w:cs="Arial"/>
                <w:b/>
                <w:sz w:val="17"/>
                <w:szCs w:val="17"/>
              </w:rPr>
            </w:pPr>
            <w:r w:rsidRPr="00C34218">
              <w:rPr>
                <w:rFonts w:ascii="Arial" w:hAnsi="Arial" w:cs="Arial"/>
                <w:b/>
                <w:sz w:val="17"/>
                <w:szCs w:val="17"/>
              </w:rPr>
              <w:t>Poder Judicial</w:t>
            </w:r>
          </w:p>
        </w:tc>
        <w:tc>
          <w:tcPr>
            <w:tcW w:w="2180"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b/>
                <w:sz w:val="17"/>
                <w:szCs w:val="17"/>
              </w:rPr>
            </w:pPr>
            <w:r w:rsidRPr="00773736">
              <w:rPr>
                <w:rFonts w:ascii="Arial" w:hAnsi="Arial" w:cs="Arial"/>
                <w:b/>
                <w:sz w:val="17"/>
                <w:szCs w:val="17"/>
              </w:rPr>
              <w:t xml:space="preserve">164,947,331 </w:t>
            </w:r>
          </w:p>
        </w:tc>
        <w:tc>
          <w:tcPr>
            <w:tcW w:w="2180"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b/>
                <w:sz w:val="17"/>
                <w:szCs w:val="17"/>
              </w:rPr>
            </w:pPr>
            <w:r w:rsidRPr="00773736">
              <w:rPr>
                <w:rFonts w:ascii="Arial" w:hAnsi="Arial" w:cs="Arial"/>
                <w:b/>
                <w:sz w:val="17"/>
                <w:szCs w:val="17"/>
              </w:rPr>
              <w:t xml:space="preserve">153,696,901 </w:t>
            </w:r>
          </w:p>
        </w:tc>
      </w:tr>
      <w:tr w:rsidR="00773736" w:rsidRPr="002D70DA" w:rsidTr="0077373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73736" w:rsidRPr="00C34218" w:rsidRDefault="00773736" w:rsidP="00773736">
            <w:pPr>
              <w:rPr>
                <w:rFonts w:ascii="Arial" w:hAnsi="Arial" w:cs="Arial"/>
                <w:b/>
                <w:sz w:val="17"/>
                <w:szCs w:val="17"/>
              </w:rPr>
            </w:pPr>
            <w:r w:rsidRPr="00C34218">
              <w:rPr>
                <w:rFonts w:ascii="Arial" w:hAnsi="Arial" w:cs="Arial"/>
                <w:b/>
                <w:sz w:val="17"/>
                <w:szCs w:val="17"/>
              </w:rPr>
              <w:t>Poder Legislativo</w:t>
            </w:r>
          </w:p>
        </w:tc>
        <w:tc>
          <w:tcPr>
            <w:tcW w:w="2180"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b/>
                <w:sz w:val="17"/>
                <w:szCs w:val="17"/>
              </w:rPr>
            </w:pPr>
            <w:r w:rsidRPr="00773736">
              <w:rPr>
                <w:rFonts w:ascii="Arial" w:hAnsi="Arial" w:cs="Arial"/>
                <w:b/>
                <w:sz w:val="17"/>
                <w:szCs w:val="17"/>
              </w:rPr>
              <w:t xml:space="preserve">30,602,942 </w:t>
            </w:r>
          </w:p>
        </w:tc>
        <w:tc>
          <w:tcPr>
            <w:tcW w:w="2180"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b/>
                <w:sz w:val="17"/>
                <w:szCs w:val="17"/>
              </w:rPr>
            </w:pPr>
            <w:r w:rsidRPr="00773736">
              <w:rPr>
                <w:rFonts w:ascii="Arial" w:hAnsi="Arial" w:cs="Arial"/>
                <w:b/>
                <w:sz w:val="17"/>
                <w:szCs w:val="17"/>
              </w:rPr>
              <w:t xml:space="preserve">34,265,629 </w:t>
            </w:r>
          </w:p>
        </w:tc>
      </w:tr>
      <w:tr w:rsidR="00773736" w:rsidRPr="002D70DA" w:rsidTr="0077373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73736" w:rsidRPr="00C34218" w:rsidRDefault="00773736" w:rsidP="00773736">
            <w:pPr>
              <w:rPr>
                <w:rFonts w:ascii="Arial" w:hAnsi="Arial" w:cs="Arial"/>
                <w:b/>
                <w:sz w:val="17"/>
                <w:szCs w:val="17"/>
              </w:rPr>
            </w:pPr>
            <w:r w:rsidRPr="00C34218">
              <w:rPr>
                <w:rFonts w:ascii="Arial" w:hAnsi="Arial" w:cs="Arial"/>
                <w:b/>
                <w:sz w:val="17"/>
                <w:szCs w:val="17"/>
              </w:rPr>
              <w:t>Órganos Autónomos</w:t>
            </w:r>
          </w:p>
        </w:tc>
        <w:tc>
          <w:tcPr>
            <w:tcW w:w="2180"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b/>
                <w:sz w:val="17"/>
                <w:szCs w:val="17"/>
              </w:rPr>
            </w:pPr>
            <w:r w:rsidRPr="00773736">
              <w:rPr>
                <w:rFonts w:ascii="Arial" w:hAnsi="Arial" w:cs="Arial"/>
                <w:b/>
                <w:sz w:val="17"/>
                <w:szCs w:val="17"/>
              </w:rPr>
              <w:t xml:space="preserve">530,561,298 </w:t>
            </w:r>
          </w:p>
        </w:tc>
        <w:tc>
          <w:tcPr>
            <w:tcW w:w="2180"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b/>
                <w:sz w:val="17"/>
                <w:szCs w:val="17"/>
              </w:rPr>
            </w:pPr>
            <w:r w:rsidRPr="00773736">
              <w:rPr>
                <w:rFonts w:ascii="Arial" w:hAnsi="Arial" w:cs="Arial"/>
                <w:b/>
                <w:sz w:val="17"/>
                <w:szCs w:val="17"/>
              </w:rPr>
              <w:t xml:space="preserve">526,803,270 </w:t>
            </w:r>
          </w:p>
        </w:tc>
      </w:tr>
      <w:tr w:rsidR="00773736" w:rsidRPr="002D70DA" w:rsidTr="0077373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73736" w:rsidRPr="00C34218" w:rsidRDefault="00773736" w:rsidP="00773736">
            <w:pPr>
              <w:ind w:left="497"/>
              <w:rPr>
                <w:rFonts w:ascii="Arial" w:hAnsi="Arial" w:cs="Arial"/>
                <w:sz w:val="17"/>
                <w:szCs w:val="17"/>
              </w:rPr>
            </w:pPr>
            <w:r w:rsidRPr="00C34218">
              <w:rPr>
                <w:rFonts w:ascii="Arial" w:hAnsi="Arial" w:cs="Arial"/>
                <w:sz w:val="17"/>
                <w:szCs w:val="17"/>
              </w:rPr>
              <w:t>Comisión de Transparencia y Acceso a la</w:t>
            </w:r>
          </w:p>
          <w:p w:rsidR="00773736" w:rsidRPr="00560A6D" w:rsidRDefault="00773736" w:rsidP="00773736">
            <w:pPr>
              <w:ind w:left="497"/>
              <w:rPr>
                <w:rFonts w:ascii="Arial" w:hAnsi="Arial" w:cs="Arial"/>
                <w:sz w:val="17"/>
                <w:szCs w:val="17"/>
              </w:rPr>
            </w:pPr>
            <w:r w:rsidRPr="00C34218">
              <w:rPr>
                <w:rFonts w:ascii="Arial" w:hAnsi="Arial" w:cs="Arial"/>
                <w:sz w:val="17"/>
                <w:szCs w:val="17"/>
              </w:rPr>
              <w:t>Información Pública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sz w:val="17"/>
                <w:szCs w:val="17"/>
              </w:rPr>
            </w:pPr>
            <w:r w:rsidRPr="00773736">
              <w:rPr>
                <w:rFonts w:ascii="Arial" w:hAnsi="Arial" w:cs="Arial"/>
                <w:sz w:val="17"/>
                <w:szCs w:val="17"/>
              </w:rPr>
              <w:t xml:space="preserve">4,086,728 </w:t>
            </w:r>
          </w:p>
        </w:tc>
        <w:tc>
          <w:tcPr>
            <w:tcW w:w="2180"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sz w:val="17"/>
                <w:szCs w:val="17"/>
              </w:rPr>
            </w:pPr>
            <w:r w:rsidRPr="00773736">
              <w:rPr>
                <w:rFonts w:ascii="Arial" w:hAnsi="Arial" w:cs="Arial"/>
                <w:sz w:val="17"/>
                <w:szCs w:val="17"/>
              </w:rPr>
              <w:t xml:space="preserve">4,063,876 </w:t>
            </w:r>
          </w:p>
        </w:tc>
      </w:tr>
      <w:tr w:rsidR="00773736" w:rsidRPr="002D70DA" w:rsidTr="0077373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73736" w:rsidRPr="00560A6D" w:rsidRDefault="00773736" w:rsidP="00773736">
            <w:pPr>
              <w:ind w:left="497"/>
              <w:rPr>
                <w:rFonts w:ascii="Arial" w:hAnsi="Arial" w:cs="Arial"/>
                <w:sz w:val="17"/>
                <w:szCs w:val="17"/>
              </w:rPr>
            </w:pPr>
            <w:r w:rsidRPr="00C34218">
              <w:rPr>
                <w:rFonts w:ascii="Arial" w:hAnsi="Arial" w:cs="Arial"/>
                <w:sz w:val="17"/>
                <w:szCs w:val="17"/>
              </w:rPr>
              <w:t>Defensoría de los Derechos Humanos de Querétaro</w:t>
            </w:r>
          </w:p>
        </w:tc>
        <w:tc>
          <w:tcPr>
            <w:tcW w:w="2180"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sz w:val="17"/>
                <w:szCs w:val="17"/>
              </w:rPr>
            </w:pPr>
            <w:r w:rsidRPr="00773736">
              <w:rPr>
                <w:rFonts w:ascii="Arial" w:hAnsi="Arial" w:cs="Arial"/>
                <w:sz w:val="17"/>
                <w:szCs w:val="17"/>
              </w:rPr>
              <w:t xml:space="preserve">5,858,195 </w:t>
            </w:r>
          </w:p>
        </w:tc>
        <w:tc>
          <w:tcPr>
            <w:tcW w:w="2180"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sz w:val="17"/>
                <w:szCs w:val="17"/>
              </w:rPr>
            </w:pPr>
            <w:r w:rsidRPr="00773736">
              <w:rPr>
                <w:rFonts w:ascii="Arial" w:hAnsi="Arial" w:cs="Arial"/>
                <w:sz w:val="17"/>
                <w:szCs w:val="17"/>
              </w:rPr>
              <w:t xml:space="preserve">5,627,234 </w:t>
            </w:r>
          </w:p>
        </w:tc>
      </w:tr>
      <w:tr w:rsidR="00773736" w:rsidRPr="002D70DA" w:rsidTr="0077373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73736" w:rsidRPr="00C34218" w:rsidRDefault="00773736" w:rsidP="00773736">
            <w:pPr>
              <w:ind w:left="497"/>
              <w:rPr>
                <w:rFonts w:ascii="Arial" w:hAnsi="Arial" w:cs="Arial"/>
                <w:sz w:val="17"/>
                <w:szCs w:val="17"/>
              </w:rPr>
            </w:pPr>
            <w:r w:rsidRPr="00C34218">
              <w:rPr>
                <w:rFonts w:ascii="Arial" w:hAnsi="Arial" w:cs="Arial"/>
                <w:sz w:val="17"/>
                <w:szCs w:val="17"/>
              </w:rPr>
              <w:t>Entidad Superior de Fiscalización del Estado de</w:t>
            </w:r>
          </w:p>
          <w:p w:rsidR="00773736" w:rsidRPr="00C34218" w:rsidRDefault="00773736" w:rsidP="00773736">
            <w:pPr>
              <w:ind w:left="497"/>
              <w:rPr>
                <w:rFonts w:ascii="Arial" w:hAnsi="Arial" w:cs="Arial"/>
                <w:sz w:val="17"/>
                <w:szCs w:val="17"/>
              </w:rPr>
            </w:pPr>
            <w:r w:rsidRPr="00C34218">
              <w:rPr>
                <w:rFonts w:ascii="Arial" w:hAnsi="Arial" w:cs="Arial"/>
                <w:sz w:val="17"/>
                <w:szCs w:val="17"/>
              </w:rPr>
              <w:t>Querétaro</w:t>
            </w:r>
          </w:p>
        </w:tc>
        <w:tc>
          <w:tcPr>
            <w:tcW w:w="2180"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sz w:val="17"/>
                <w:szCs w:val="17"/>
              </w:rPr>
            </w:pPr>
            <w:r w:rsidRPr="00773736">
              <w:rPr>
                <w:rFonts w:ascii="Arial" w:hAnsi="Arial" w:cs="Arial"/>
                <w:sz w:val="17"/>
                <w:szCs w:val="17"/>
              </w:rPr>
              <w:t xml:space="preserve">14,966,235 </w:t>
            </w:r>
          </w:p>
        </w:tc>
        <w:tc>
          <w:tcPr>
            <w:tcW w:w="2180"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sz w:val="17"/>
                <w:szCs w:val="17"/>
              </w:rPr>
            </w:pPr>
            <w:r w:rsidRPr="00773736">
              <w:rPr>
                <w:rFonts w:ascii="Arial" w:hAnsi="Arial" w:cs="Arial"/>
                <w:sz w:val="17"/>
                <w:szCs w:val="17"/>
              </w:rPr>
              <w:t xml:space="preserve">13,835,196 </w:t>
            </w:r>
          </w:p>
        </w:tc>
      </w:tr>
      <w:tr w:rsidR="00773736" w:rsidRPr="002D70DA" w:rsidTr="0077373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73736" w:rsidRPr="00C34218" w:rsidRDefault="00773736" w:rsidP="00773736">
            <w:pPr>
              <w:ind w:left="497"/>
              <w:rPr>
                <w:rFonts w:ascii="Arial" w:hAnsi="Arial" w:cs="Arial"/>
                <w:sz w:val="17"/>
                <w:szCs w:val="17"/>
              </w:rPr>
            </w:pPr>
            <w:r w:rsidRPr="00C34218">
              <w:rPr>
                <w:rFonts w:ascii="Arial" w:hAnsi="Arial" w:cs="Arial"/>
                <w:sz w:val="17"/>
                <w:szCs w:val="17"/>
              </w:rPr>
              <w:t>Fiscalía General del Estado</w:t>
            </w:r>
          </w:p>
        </w:tc>
        <w:tc>
          <w:tcPr>
            <w:tcW w:w="2180"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sz w:val="17"/>
                <w:szCs w:val="17"/>
              </w:rPr>
            </w:pPr>
            <w:r w:rsidRPr="00773736">
              <w:rPr>
                <w:rFonts w:ascii="Arial" w:hAnsi="Arial" w:cs="Arial"/>
                <w:sz w:val="17"/>
                <w:szCs w:val="17"/>
              </w:rPr>
              <w:t xml:space="preserve">478,662,191 </w:t>
            </w:r>
          </w:p>
        </w:tc>
        <w:tc>
          <w:tcPr>
            <w:tcW w:w="2180"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sz w:val="17"/>
                <w:szCs w:val="17"/>
              </w:rPr>
            </w:pPr>
            <w:r w:rsidRPr="00773736">
              <w:rPr>
                <w:rFonts w:ascii="Arial" w:hAnsi="Arial" w:cs="Arial"/>
                <w:sz w:val="17"/>
                <w:szCs w:val="17"/>
              </w:rPr>
              <w:t xml:space="preserve">477,345,204 </w:t>
            </w:r>
          </w:p>
        </w:tc>
      </w:tr>
      <w:tr w:rsidR="00773736" w:rsidRPr="002D70DA" w:rsidTr="0077373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73736" w:rsidRPr="00560A6D" w:rsidRDefault="00773736" w:rsidP="00773736">
            <w:pPr>
              <w:ind w:left="497"/>
              <w:rPr>
                <w:rFonts w:ascii="Arial" w:hAnsi="Arial" w:cs="Arial"/>
                <w:sz w:val="17"/>
                <w:szCs w:val="17"/>
              </w:rPr>
            </w:pPr>
            <w:r w:rsidRPr="00C34218">
              <w:rPr>
                <w:rFonts w:ascii="Arial" w:hAnsi="Arial" w:cs="Arial"/>
                <w:sz w:val="17"/>
                <w:szCs w:val="17"/>
              </w:rPr>
              <w:t>Instituto Electoral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sz w:val="17"/>
                <w:szCs w:val="17"/>
              </w:rPr>
            </w:pPr>
            <w:r w:rsidRPr="00773736">
              <w:rPr>
                <w:rFonts w:ascii="Arial" w:hAnsi="Arial" w:cs="Arial"/>
                <w:sz w:val="17"/>
                <w:szCs w:val="17"/>
              </w:rPr>
              <w:t xml:space="preserve">14,512,967 </w:t>
            </w:r>
          </w:p>
        </w:tc>
        <w:tc>
          <w:tcPr>
            <w:tcW w:w="2180"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sz w:val="17"/>
                <w:szCs w:val="17"/>
              </w:rPr>
            </w:pPr>
            <w:r w:rsidRPr="00773736">
              <w:rPr>
                <w:rFonts w:ascii="Arial" w:hAnsi="Arial" w:cs="Arial"/>
                <w:sz w:val="17"/>
                <w:szCs w:val="17"/>
              </w:rPr>
              <w:t xml:space="preserve">14,352,228 </w:t>
            </w:r>
          </w:p>
        </w:tc>
      </w:tr>
      <w:tr w:rsidR="00773736" w:rsidRPr="002D70DA" w:rsidTr="0077373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73736" w:rsidRPr="00C34218" w:rsidRDefault="00773736" w:rsidP="00773736">
            <w:pPr>
              <w:ind w:left="497"/>
              <w:rPr>
                <w:rFonts w:ascii="Arial" w:hAnsi="Arial" w:cs="Arial"/>
                <w:sz w:val="17"/>
                <w:szCs w:val="17"/>
              </w:rPr>
            </w:pPr>
            <w:r w:rsidRPr="00C34218">
              <w:rPr>
                <w:rFonts w:ascii="Arial" w:hAnsi="Arial" w:cs="Arial"/>
                <w:sz w:val="17"/>
                <w:szCs w:val="17"/>
              </w:rPr>
              <w:t>Tribunal de Conciliación y Arbitraje</w:t>
            </w:r>
          </w:p>
        </w:tc>
        <w:tc>
          <w:tcPr>
            <w:tcW w:w="2180"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sz w:val="17"/>
                <w:szCs w:val="17"/>
              </w:rPr>
            </w:pPr>
            <w:r w:rsidRPr="00773736">
              <w:rPr>
                <w:rFonts w:ascii="Arial" w:hAnsi="Arial" w:cs="Arial"/>
                <w:sz w:val="17"/>
                <w:szCs w:val="17"/>
              </w:rPr>
              <w:t xml:space="preserve">3,615,129 </w:t>
            </w:r>
          </w:p>
        </w:tc>
        <w:tc>
          <w:tcPr>
            <w:tcW w:w="2180"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sz w:val="17"/>
                <w:szCs w:val="17"/>
              </w:rPr>
            </w:pPr>
            <w:r w:rsidRPr="00773736">
              <w:rPr>
                <w:rFonts w:ascii="Arial" w:hAnsi="Arial" w:cs="Arial"/>
                <w:sz w:val="17"/>
                <w:szCs w:val="17"/>
              </w:rPr>
              <w:t xml:space="preserve">3,542,678 </w:t>
            </w:r>
          </w:p>
        </w:tc>
      </w:tr>
      <w:tr w:rsidR="00773736" w:rsidRPr="002D70DA" w:rsidTr="0077373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73736" w:rsidRPr="00C34218" w:rsidRDefault="00773736" w:rsidP="00773736">
            <w:pPr>
              <w:ind w:left="497"/>
              <w:rPr>
                <w:rFonts w:ascii="Arial" w:hAnsi="Arial" w:cs="Arial"/>
                <w:sz w:val="17"/>
                <w:szCs w:val="17"/>
              </w:rPr>
            </w:pPr>
            <w:r w:rsidRPr="00C34218">
              <w:rPr>
                <w:rFonts w:ascii="Arial" w:hAnsi="Arial" w:cs="Arial"/>
                <w:sz w:val="17"/>
                <w:szCs w:val="17"/>
              </w:rPr>
              <w:t>Tribunal de Justicia Administrativa del Estado de</w:t>
            </w:r>
          </w:p>
          <w:p w:rsidR="00773736" w:rsidRPr="00560A6D" w:rsidRDefault="00773736" w:rsidP="00773736">
            <w:pPr>
              <w:ind w:left="497"/>
              <w:rPr>
                <w:rFonts w:ascii="Arial" w:hAnsi="Arial" w:cs="Arial"/>
                <w:sz w:val="17"/>
                <w:szCs w:val="17"/>
              </w:rPr>
            </w:pPr>
            <w:r w:rsidRPr="00C34218">
              <w:rPr>
                <w:rFonts w:ascii="Arial" w:hAnsi="Arial" w:cs="Arial"/>
                <w:sz w:val="17"/>
                <w:szCs w:val="17"/>
              </w:rPr>
              <w:t>Querétaro</w:t>
            </w:r>
          </w:p>
        </w:tc>
        <w:tc>
          <w:tcPr>
            <w:tcW w:w="2180"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sz w:val="17"/>
                <w:szCs w:val="17"/>
              </w:rPr>
            </w:pPr>
            <w:r w:rsidRPr="00773736">
              <w:rPr>
                <w:rFonts w:ascii="Arial" w:hAnsi="Arial" w:cs="Arial"/>
                <w:sz w:val="17"/>
                <w:szCs w:val="17"/>
              </w:rPr>
              <w:t xml:space="preserve">6,086,517 </w:t>
            </w:r>
          </w:p>
        </w:tc>
        <w:tc>
          <w:tcPr>
            <w:tcW w:w="2180"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sz w:val="17"/>
                <w:szCs w:val="17"/>
              </w:rPr>
            </w:pPr>
            <w:r w:rsidRPr="00773736">
              <w:rPr>
                <w:rFonts w:ascii="Arial" w:hAnsi="Arial" w:cs="Arial"/>
                <w:sz w:val="17"/>
                <w:szCs w:val="17"/>
              </w:rPr>
              <w:t xml:space="preserve">5,894,777 </w:t>
            </w:r>
          </w:p>
        </w:tc>
      </w:tr>
      <w:tr w:rsidR="00773736" w:rsidRPr="002D70DA" w:rsidTr="0077373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73736" w:rsidRPr="00560A6D" w:rsidRDefault="00773736" w:rsidP="00773736">
            <w:pPr>
              <w:ind w:left="497"/>
              <w:rPr>
                <w:rFonts w:ascii="Arial" w:hAnsi="Arial" w:cs="Arial"/>
                <w:sz w:val="17"/>
                <w:szCs w:val="17"/>
              </w:rPr>
            </w:pPr>
            <w:r w:rsidRPr="00C34218">
              <w:rPr>
                <w:rFonts w:ascii="Arial" w:hAnsi="Arial" w:cs="Arial"/>
                <w:sz w:val="17"/>
                <w:szCs w:val="17"/>
              </w:rPr>
              <w:t>Tribunal Electoral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sz w:val="17"/>
                <w:szCs w:val="17"/>
              </w:rPr>
            </w:pPr>
            <w:r w:rsidRPr="00773736">
              <w:rPr>
                <w:rFonts w:ascii="Arial" w:hAnsi="Arial" w:cs="Arial"/>
                <w:sz w:val="17"/>
                <w:szCs w:val="17"/>
              </w:rPr>
              <w:t xml:space="preserve">2,773,337 </w:t>
            </w:r>
          </w:p>
        </w:tc>
        <w:tc>
          <w:tcPr>
            <w:tcW w:w="2180" w:type="dxa"/>
            <w:tcBorders>
              <w:top w:val="single" w:sz="4" w:space="0" w:color="auto"/>
              <w:left w:val="nil"/>
              <w:bottom w:val="single" w:sz="4" w:space="0" w:color="auto"/>
              <w:right w:val="single" w:sz="4" w:space="0" w:color="auto"/>
            </w:tcBorders>
            <w:shd w:val="clear" w:color="auto" w:fill="auto"/>
          </w:tcPr>
          <w:p w:rsidR="00773736" w:rsidRPr="00773736" w:rsidRDefault="00773736" w:rsidP="00773736">
            <w:pPr>
              <w:jc w:val="right"/>
              <w:rPr>
                <w:rFonts w:ascii="Arial" w:hAnsi="Arial" w:cs="Arial"/>
                <w:sz w:val="17"/>
                <w:szCs w:val="17"/>
              </w:rPr>
            </w:pPr>
            <w:r w:rsidRPr="00773736">
              <w:rPr>
                <w:rFonts w:ascii="Arial" w:hAnsi="Arial" w:cs="Arial"/>
                <w:sz w:val="17"/>
                <w:szCs w:val="17"/>
              </w:rPr>
              <w:t xml:space="preserve">2,142,076 </w:t>
            </w:r>
          </w:p>
        </w:tc>
      </w:tr>
      <w:tr w:rsidR="00773736" w:rsidRPr="002D70DA" w:rsidTr="00773736">
        <w:trPr>
          <w:trHeight w:val="240"/>
          <w:jc w:val="center"/>
        </w:trPr>
        <w:tc>
          <w:tcPr>
            <w:tcW w:w="4900" w:type="dxa"/>
            <w:tcBorders>
              <w:top w:val="nil"/>
              <w:left w:val="nil"/>
              <w:bottom w:val="nil"/>
              <w:right w:val="single" w:sz="4" w:space="0" w:color="auto"/>
            </w:tcBorders>
            <w:shd w:val="clear" w:color="000000" w:fill="FFFFFF"/>
            <w:vAlign w:val="center"/>
            <w:hideMark/>
          </w:tcPr>
          <w:p w:rsidR="00773736" w:rsidRPr="002D70DA" w:rsidRDefault="00773736" w:rsidP="00773736">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773736" w:rsidRPr="00186E15" w:rsidRDefault="00773736" w:rsidP="00773736">
            <w:pPr>
              <w:jc w:val="right"/>
              <w:rPr>
                <w:rFonts w:ascii="Arial" w:hAnsi="Arial" w:cs="Arial"/>
                <w:b/>
                <w:sz w:val="17"/>
                <w:szCs w:val="17"/>
              </w:rPr>
            </w:pPr>
            <w:r w:rsidRPr="00773736">
              <w:rPr>
                <w:rFonts w:ascii="Arial" w:hAnsi="Arial" w:cs="Arial"/>
                <w:b/>
                <w:sz w:val="17"/>
                <w:szCs w:val="17"/>
              </w:rPr>
              <w:t>3,447,839,303</w:t>
            </w:r>
          </w:p>
        </w:tc>
        <w:tc>
          <w:tcPr>
            <w:tcW w:w="2180" w:type="dxa"/>
            <w:tcBorders>
              <w:top w:val="nil"/>
              <w:left w:val="single" w:sz="4" w:space="0" w:color="auto"/>
              <w:bottom w:val="single" w:sz="4" w:space="0" w:color="auto"/>
              <w:right w:val="single" w:sz="4" w:space="0" w:color="auto"/>
            </w:tcBorders>
            <w:shd w:val="clear" w:color="000000" w:fill="FFFFFF"/>
          </w:tcPr>
          <w:p w:rsidR="00773736" w:rsidRPr="00773736" w:rsidRDefault="00773736" w:rsidP="00773736">
            <w:pPr>
              <w:jc w:val="right"/>
              <w:rPr>
                <w:rFonts w:ascii="Arial" w:hAnsi="Arial" w:cs="Arial"/>
                <w:b/>
                <w:sz w:val="17"/>
                <w:szCs w:val="17"/>
              </w:rPr>
            </w:pPr>
            <w:r w:rsidRPr="00773736">
              <w:rPr>
                <w:rFonts w:ascii="Arial" w:hAnsi="Arial" w:cs="Arial"/>
                <w:b/>
                <w:sz w:val="17"/>
                <w:szCs w:val="17"/>
              </w:rPr>
              <w:t xml:space="preserve">3,374,552,729 </w:t>
            </w:r>
          </w:p>
        </w:tc>
      </w:tr>
    </w:tbl>
    <w:p w:rsidR="00432E48" w:rsidRDefault="00432E48" w:rsidP="00432E48">
      <w:pPr>
        <w:spacing w:before="80" w:line="250" w:lineRule="exact"/>
        <w:ind w:left="709"/>
        <w:jc w:val="both"/>
        <w:rPr>
          <w:rFonts w:ascii="Arial" w:eastAsia="Calibri" w:hAnsi="Arial" w:cs="Arial"/>
          <w:spacing w:val="-1"/>
          <w:sz w:val="17"/>
          <w:szCs w:val="17"/>
        </w:rPr>
      </w:pPr>
    </w:p>
    <w:p w:rsidR="00FB2635" w:rsidRPr="002D70DA" w:rsidRDefault="00FB2635" w:rsidP="00FB2635">
      <w:pPr>
        <w:pStyle w:val="Prrafodelista"/>
        <w:numPr>
          <w:ilvl w:val="0"/>
          <w:numId w:val="8"/>
        </w:numPr>
        <w:spacing w:before="80" w:line="250" w:lineRule="exact"/>
        <w:contextualSpacing w:val="0"/>
        <w:jc w:val="both"/>
        <w:rPr>
          <w:rFonts w:ascii="Arial" w:eastAsia="Calibri" w:hAnsi="Arial" w:cs="Arial"/>
          <w:b/>
          <w:spacing w:val="-1"/>
          <w:sz w:val="17"/>
          <w:szCs w:val="17"/>
        </w:rPr>
      </w:pPr>
      <w:r>
        <w:rPr>
          <w:rFonts w:ascii="Arial" w:eastAsia="Calibri" w:hAnsi="Arial" w:cs="Arial"/>
          <w:b/>
          <w:spacing w:val="-1"/>
          <w:sz w:val="17"/>
          <w:szCs w:val="17"/>
        </w:rPr>
        <w:t>Activos Intangibles</w:t>
      </w:r>
    </w:p>
    <w:p w:rsidR="00C647ED" w:rsidRDefault="00C647ED" w:rsidP="00C647ED">
      <w:pPr>
        <w:spacing w:before="80" w:line="250" w:lineRule="exact"/>
        <w:ind w:left="709"/>
        <w:jc w:val="both"/>
        <w:rPr>
          <w:rFonts w:ascii="Arial" w:eastAsia="Calibri" w:hAnsi="Arial" w:cs="Arial"/>
          <w:spacing w:val="-1"/>
          <w:sz w:val="17"/>
          <w:szCs w:val="17"/>
        </w:rPr>
      </w:pPr>
      <w:r w:rsidRPr="007F7800">
        <w:rPr>
          <w:rFonts w:ascii="Arial" w:eastAsia="Calibri" w:hAnsi="Arial" w:cs="Arial"/>
          <w:spacing w:val="-1"/>
          <w:sz w:val="17"/>
          <w:szCs w:val="17"/>
        </w:rPr>
        <w:t xml:space="preserve">Se informa </w:t>
      </w:r>
      <w:r>
        <w:rPr>
          <w:rFonts w:ascii="Arial" w:eastAsia="Calibri" w:hAnsi="Arial" w:cs="Arial"/>
          <w:spacing w:val="-1"/>
          <w:sz w:val="17"/>
          <w:szCs w:val="17"/>
        </w:rPr>
        <w:t xml:space="preserve">el saldo de la cuenta </w:t>
      </w:r>
      <w:r w:rsidRPr="007F7800">
        <w:rPr>
          <w:rFonts w:ascii="Arial" w:eastAsia="Calibri" w:hAnsi="Arial" w:cs="Arial"/>
          <w:spacing w:val="-1"/>
          <w:sz w:val="17"/>
          <w:szCs w:val="17"/>
        </w:rPr>
        <w:t xml:space="preserve">de </w:t>
      </w:r>
      <w:r>
        <w:rPr>
          <w:rFonts w:ascii="Arial" w:eastAsia="Calibri" w:hAnsi="Arial" w:cs="Arial"/>
          <w:spacing w:val="-1"/>
          <w:sz w:val="17"/>
          <w:szCs w:val="17"/>
        </w:rPr>
        <w:t>Activos Intangibles</w:t>
      </w:r>
      <w:r w:rsidRPr="007F7800">
        <w:rPr>
          <w:rFonts w:ascii="Arial" w:eastAsia="Calibri" w:hAnsi="Arial" w:cs="Arial"/>
          <w:spacing w:val="-1"/>
          <w:sz w:val="17"/>
          <w:szCs w:val="17"/>
        </w:rPr>
        <w:t xml:space="preserve">, al 31 de diciembre del </w:t>
      </w:r>
      <w:r w:rsidR="00FD7D84">
        <w:rPr>
          <w:rFonts w:ascii="Arial" w:eastAsia="Calibri" w:hAnsi="Arial" w:cs="Arial"/>
          <w:spacing w:val="-1"/>
          <w:sz w:val="17"/>
          <w:szCs w:val="17"/>
        </w:rPr>
        <w:t>2020</w:t>
      </w:r>
      <w:r w:rsidR="00FB2635">
        <w:rPr>
          <w:rFonts w:ascii="Arial" w:eastAsia="Calibri" w:hAnsi="Arial" w:cs="Arial"/>
          <w:spacing w:val="-1"/>
          <w:sz w:val="17"/>
          <w:szCs w:val="17"/>
        </w:rPr>
        <w:t>:</w:t>
      </w:r>
    </w:p>
    <w:p w:rsidR="00FB2635" w:rsidRPr="00785016" w:rsidRDefault="00FB2635" w:rsidP="00FB2635">
      <w:pPr>
        <w:autoSpaceDE w:val="0"/>
        <w:autoSpaceDN w:val="0"/>
        <w:adjustRightInd w:val="0"/>
        <w:spacing w:before="240" w:after="120"/>
        <w:ind w:left="360"/>
        <w:jc w:val="center"/>
        <w:rPr>
          <w:rFonts w:ascii="Arial" w:eastAsia="Calibri" w:hAnsi="Arial" w:cs="Arial"/>
          <w:b/>
          <w:spacing w:val="-1"/>
          <w:sz w:val="17"/>
          <w:szCs w:val="17"/>
        </w:rPr>
      </w:pPr>
      <w:r w:rsidRPr="00785016">
        <w:rPr>
          <w:rFonts w:ascii="Arial" w:eastAsia="Calibri" w:hAnsi="Arial" w:cs="Arial"/>
          <w:b/>
          <w:spacing w:val="-1"/>
          <w:sz w:val="17"/>
          <w:szCs w:val="17"/>
        </w:rPr>
        <w:t>(Pesos)</w:t>
      </w:r>
    </w:p>
    <w:tbl>
      <w:tblPr>
        <w:tblW w:w="9270" w:type="dxa"/>
        <w:jc w:val="center"/>
        <w:tblCellMar>
          <w:left w:w="70" w:type="dxa"/>
          <w:right w:w="70" w:type="dxa"/>
        </w:tblCellMar>
        <w:tblLook w:val="04A0" w:firstRow="1" w:lastRow="0" w:firstColumn="1" w:lastColumn="0" w:noHBand="0" w:noVBand="1"/>
        <w:tblDescription w:val="monto"/>
      </w:tblPr>
      <w:tblGrid>
        <w:gridCol w:w="4901"/>
        <w:gridCol w:w="2180"/>
        <w:gridCol w:w="2179"/>
        <w:gridCol w:w="10"/>
      </w:tblGrid>
      <w:tr w:rsidR="00FB2635" w:rsidRPr="002D70DA" w:rsidTr="005E7BF5">
        <w:trPr>
          <w:trHeight w:val="240"/>
          <w:jc w:val="center"/>
        </w:trPr>
        <w:tc>
          <w:tcPr>
            <w:tcW w:w="49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FB2635" w:rsidRPr="002D70DA" w:rsidRDefault="00FB2635" w:rsidP="00FE0D85">
            <w:pPr>
              <w:jc w:val="center"/>
              <w:rPr>
                <w:rFonts w:ascii="Arial" w:hAnsi="Arial" w:cs="Arial"/>
                <w:b/>
                <w:bCs/>
                <w:color w:val="000000"/>
                <w:sz w:val="17"/>
                <w:szCs w:val="17"/>
              </w:rPr>
            </w:pPr>
            <w:r>
              <w:rPr>
                <w:rFonts w:ascii="Arial" w:hAnsi="Arial" w:cs="Arial"/>
                <w:b/>
                <w:bCs/>
                <w:color w:val="000000"/>
                <w:sz w:val="17"/>
                <w:szCs w:val="17"/>
              </w:rPr>
              <w:t>Concepto</w:t>
            </w:r>
            <w:r w:rsidRPr="002D70DA">
              <w:rPr>
                <w:rFonts w:ascii="Arial" w:hAnsi="Arial" w:cs="Arial"/>
                <w:b/>
                <w:bCs/>
                <w:color w:val="000000"/>
                <w:sz w:val="17"/>
                <w:szCs w:val="17"/>
              </w:rPr>
              <w:t>:</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B2635" w:rsidRPr="002D70DA" w:rsidRDefault="00FD7D84" w:rsidP="00FE0D85">
            <w:pPr>
              <w:jc w:val="center"/>
              <w:rPr>
                <w:rFonts w:ascii="Arial" w:hAnsi="Arial" w:cs="Arial"/>
                <w:b/>
                <w:bCs/>
                <w:color w:val="000000"/>
                <w:sz w:val="17"/>
                <w:szCs w:val="17"/>
              </w:rPr>
            </w:pPr>
            <w:r>
              <w:rPr>
                <w:rFonts w:ascii="Arial" w:hAnsi="Arial" w:cs="Arial"/>
                <w:b/>
                <w:bCs/>
                <w:color w:val="000000"/>
                <w:sz w:val="17"/>
                <w:szCs w:val="17"/>
              </w:rPr>
              <w:t>2020</w:t>
            </w:r>
          </w:p>
        </w:tc>
        <w:tc>
          <w:tcPr>
            <w:tcW w:w="2189" w:type="dxa"/>
            <w:gridSpan w:val="2"/>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B2635" w:rsidRPr="002D70DA" w:rsidRDefault="00FD7D84" w:rsidP="00FE0D85">
            <w:pPr>
              <w:jc w:val="center"/>
              <w:rPr>
                <w:rFonts w:ascii="Arial" w:hAnsi="Arial" w:cs="Arial"/>
                <w:b/>
                <w:bCs/>
                <w:color w:val="000000"/>
                <w:sz w:val="17"/>
                <w:szCs w:val="17"/>
              </w:rPr>
            </w:pPr>
            <w:r>
              <w:rPr>
                <w:rFonts w:ascii="Arial" w:hAnsi="Arial" w:cs="Arial"/>
                <w:b/>
                <w:bCs/>
                <w:color w:val="000000"/>
                <w:sz w:val="17"/>
                <w:szCs w:val="17"/>
              </w:rPr>
              <w:t>2019</w:t>
            </w:r>
          </w:p>
        </w:tc>
      </w:tr>
      <w:tr w:rsidR="005E7BF5" w:rsidRPr="002D70DA" w:rsidTr="005E7BF5">
        <w:trPr>
          <w:trHeight w:val="240"/>
          <w:jc w:val="center"/>
        </w:trPr>
        <w:tc>
          <w:tcPr>
            <w:tcW w:w="4901" w:type="dxa"/>
            <w:tcBorders>
              <w:top w:val="single" w:sz="4" w:space="0" w:color="auto"/>
              <w:left w:val="single" w:sz="4" w:space="0" w:color="auto"/>
              <w:bottom w:val="single" w:sz="4" w:space="0" w:color="auto"/>
              <w:right w:val="single" w:sz="4" w:space="0" w:color="auto"/>
            </w:tcBorders>
            <w:shd w:val="clear" w:color="auto" w:fill="auto"/>
          </w:tcPr>
          <w:p w:rsidR="005E7BF5" w:rsidRPr="00E10447" w:rsidRDefault="005E7BF5" w:rsidP="005E7BF5">
            <w:pPr>
              <w:rPr>
                <w:rFonts w:ascii="Arial" w:hAnsi="Arial" w:cs="Arial"/>
                <w:sz w:val="17"/>
                <w:szCs w:val="17"/>
              </w:rPr>
            </w:pPr>
            <w:r w:rsidRPr="00E10447">
              <w:rPr>
                <w:rFonts w:ascii="Arial" w:hAnsi="Arial" w:cs="Arial"/>
                <w:sz w:val="17"/>
                <w:szCs w:val="17"/>
              </w:rPr>
              <w:t>Software</w:t>
            </w:r>
          </w:p>
        </w:tc>
        <w:tc>
          <w:tcPr>
            <w:tcW w:w="2180" w:type="dxa"/>
            <w:tcBorders>
              <w:top w:val="single" w:sz="4" w:space="0" w:color="auto"/>
              <w:left w:val="nil"/>
              <w:bottom w:val="single" w:sz="4" w:space="0" w:color="auto"/>
              <w:right w:val="single" w:sz="4" w:space="0" w:color="auto"/>
            </w:tcBorders>
            <w:shd w:val="clear" w:color="auto" w:fill="auto"/>
          </w:tcPr>
          <w:p w:rsidR="005E7BF5" w:rsidRPr="00CA4B4B" w:rsidRDefault="005E7BF5" w:rsidP="00CA4B4B">
            <w:pPr>
              <w:jc w:val="right"/>
              <w:rPr>
                <w:rFonts w:ascii="Arial" w:hAnsi="Arial" w:cs="Arial"/>
                <w:sz w:val="17"/>
                <w:szCs w:val="17"/>
              </w:rPr>
            </w:pPr>
            <w:r w:rsidRPr="00CA4B4B">
              <w:rPr>
                <w:rFonts w:ascii="Arial" w:hAnsi="Arial" w:cs="Arial"/>
                <w:sz w:val="17"/>
                <w:szCs w:val="17"/>
              </w:rPr>
              <w:t xml:space="preserve">123,187,480 </w:t>
            </w:r>
          </w:p>
        </w:tc>
        <w:tc>
          <w:tcPr>
            <w:tcW w:w="2189" w:type="dxa"/>
            <w:gridSpan w:val="2"/>
            <w:tcBorders>
              <w:top w:val="single" w:sz="4" w:space="0" w:color="auto"/>
              <w:left w:val="nil"/>
              <w:bottom w:val="single" w:sz="4" w:space="0" w:color="auto"/>
              <w:right w:val="single" w:sz="4" w:space="0" w:color="auto"/>
            </w:tcBorders>
            <w:shd w:val="clear" w:color="auto" w:fill="auto"/>
          </w:tcPr>
          <w:p w:rsidR="005E7BF5" w:rsidRPr="005E7BF5" w:rsidRDefault="005E7BF5" w:rsidP="005E7BF5">
            <w:pPr>
              <w:jc w:val="right"/>
              <w:rPr>
                <w:rFonts w:ascii="Arial" w:hAnsi="Arial" w:cs="Arial"/>
                <w:sz w:val="17"/>
                <w:szCs w:val="17"/>
              </w:rPr>
            </w:pPr>
            <w:r w:rsidRPr="005E7BF5">
              <w:rPr>
                <w:rFonts w:ascii="Arial" w:hAnsi="Arial" w:cs="Arial"/>
                <w:sz w:val="17"/>
                <w:szCs w:val="17"/>
              </w:rPr>
              <w:t xml:space="preserve"> 119,057,019 </w:t>
            </w:r>
          </w:p>
        </w:tc>
      </w:tr>
      <w:tr w:rsidR="005E7BF5" w:rsidRPr="002D70DA" w:rsidTr="005E7BF5">
        <w:trPr>
          <w:trHeight w:val="240"/>
          <w:jc w:val="center"/>
        </w:trPr>
        <w:tc>
          <w:tcPr>
            <w:tcW w:w="4901" w:type="dxa"/>
            <w:tcBorders>
              <w:top w:val="single" w:sz="4" w:space="0" w:color="auto"/>
              <w:left w:val="single" w:sz="4" w:space="0" w:color="auto"/>
              <w:bottom w:val="single" w:sz="4" w:space="0" w:color="auto"/>
              <w:right w:val="single" w:sz="4" w:space="0" w:color="auto"/>
            </w:tcBorders>
            <w:shd w:val="clear" w:color="auto" w:fill="auto"/>
          </w:tcPr>
          <w:p w:rsidR="005E7BF5" w:rsidRPr="00E10447" w:rsidRDefault="005E7BF5" w:rsidP="005E7BF5">
            <w:pPr>
              <w:rPr>
                <w:rFonts w:ascii="Arial" w:hAnsi="Arial" w:cs="Arial"/>
                <w:sz w:val="17"/>
                <w:szCs w:val="17"/>
              </w:rPr>
            </w:pPr>
            <w:r w:rsidRPr="00E10447">
              <w:rPr>
                <w:rFonts w:ascii="Arial" w:hAnsi="Arial" w:cs="Arial"/>
                <w:sz w:val="17"/>
                <w:szCs w:val="17"/>
              </w:rPr>
              <w:t>Patentes, Marcas y Derechos</w:t>
            </w:r>
          </w:p>
        </w:tc>
        <w:tc>
          <w:tcPr>
            <w:tcW w:w="2180" w:type="dxa"/>
            <w:tcBorders>
              <w:top w:val="single" w:sz="4" w:space="0" w:color="auto"/>
              <w:left w:val="nil"/>
              <w:bottom w:val="single" w:sz="4" w:space="0" w:color="auto"/>
              <w:right w:val="single" w:sz="4" w:space="0" w:color="auto"/>
            </w:tcBorders>
            <w:shd w:val="clear" w:color="auto" w:fill="auto"/>
          </w:tcPr>
          <w:p w:rsidR="005E7BF5" w:rsidRPr="00CA4B4B" w:rsidRDefault="005E7BF5" w:rsidP="00CA4B4B">
            <w:pPr>
              <w:jc w:val="right"/>
              <w:rPr>
                <w:rFonts w:ascii="Arial" w:hAnsi="Arial" w:cs="Arial"/>
                <w:sz w:val="17"/>
                <w:szCs w:val="17"/>
              </w:rPr>
            </w:pPr>
            <w:r w:rsidRPr="00CA4B4B">
              <w:rPr>
                <w:rFonts w:ascii="Arial" w:hAnsi="Arial" w:cs="Arial"/>
                <w:sz w:val="17"/>
                <w:szCs w:val="17"/>
              </w:rPr>
              <w:t xml:space="preserve">125,662 </w:t>
            </w:r>
          </w:p>
        </w:tc>
        <w:tc>
          <w:tcPr>
            <w:tcW w:w="2189" w:type="dxa"/>
            <w:gridSpan w:val="2"/>
            <w:tcBorders>
              <w:top w:val="single" w:sz="4" w:space="0" w:color="auto"/>
              <w:left w:val="nil"/>
              <w:bottom w:val="single" w:sz="4" w:space="0" w:color="auto"/>
              <w:right w:val="single" w:sz="4" w:space="0" w:color="auto"/>
            </w:tcBorders>
            <w:shd w:val="clear" w:color="auto" w:fill="auto"/>
          </w:tcPr>
          <w:p w:rsidR="005E7BF5" w:rsidRPr="005E7BF5" w:rsidRDefault="005E7BF5" w:rsidP="005E7BF5">
            <w:pPr>
              <w:jc w:val="right"/>
              <w:rPr>
                <w:rFonts w:ascii="Arial" w:hAnsi="Arial" w:cs="Arial"/>
                <w:sz w:val="17"/>
                <w:szCs w:val="17"/>
              </w:rPr>
            </w:pPr>
            <w:r w:rsidRPr="005E7BF5">
              <w:rPr>
                <w:rFonts w:ascii="Arial" w:hAnsi="Arial" w:cs="Arial"/>
                <w:sz w:val="17"/>
                <w:szCs w:val="17"/>
              </w:rPr>
              <w:t xml:space="preserve"> 125,662 </w:t>
            </w:r>
          </w:p>
        </w:tc>
      </w:tr>
      <w:tr w:rsidR="005E7BF5" w:rsidRPr="002D70DA" w:rsidTr="005E7BF5">
        <w:trPr>
          <w:trHeight w:val="240"/>
          <w:jc w:val="center"/>
        </w:trPr>
        <w:tc>
          <w:tcPr>
            <w:tcW w:w="4901" w:type="dxa"/>
            <w:tcBorders>
              <w:top w:val="single" w:sz="4" w:space="0" w:color="auto"/>
              <w:left w:val="single" w:sz="4" w:space="0" w:color="auto"/>
              <w:bottom w:val="single" w:sz="4" w:space="0" w:color="auto"/>
              <w:right w:val="single" w:sz="4" w:space="0" w:color="auto"/>
            </w:tcBorders>
            <w:shd w:val="clear" w:color="auto" w:fill="auto"/>
          </w:tcPr>
          <w:p w:rsidR="005E7BF5" w:rsidRPr="00E10447" w:rsidRDefault="005E7BF5" w:rsidP="005E7BF5">
            <w:pPr>
              <w:rPr>
                <w:rFonts w:ascii="Arial" w:hAnsi="Arial" w:cs="Arial"/>
                <w:sz w:val="17"/>
                <w:szCs w:val="17"/>
              </w:rPr>
            </w:pPr>
            <w:r w:rsidRPr="00E10447">
              <w:rPr>
                <w:rFonts w:ascii="Arial" w:hAnsi="Arial" w:cs="Arial"/>
                <w:sz w:val="17"/>
                <w:szCs w:val="17"/>
              </w:rPr>
              <w:t>Licencias</w:t>
            </w:r>
          </w:p>
        </w:tc>
        <w:tc>
          <w:tcPr>
            <w:tcW w:w="2180" w:type="dxa"/>
            <w:tcBorders>
              <w:top w:val="single" w:sz="4" w:space="0" w:color="auto"/>
              <w:left w:val="nil"/>
              <w:bottom w:val="single" w:sz="4" w:space="0" w:color="auto"/>
              <w:right w:val="single" w:sz="4" w:space="0" w:color="auto"/>
            </w:tcBorders>
            <w:shd w:val="clear" w:color="auto" w:fill="auto"/>
          </w:tcPr>
          <w:p w:rsidR="005E7BF5" w:rsidRPr="00E10447" w:rsidRDefault="005E7BF5" w:rsidP="005E7BF5">
            <w:pPr>
              <w:jc w:val="right"/>
              <w:rPr>
                <w:rFonts w:ascii="Arial" w:hAnsi="Arial" w:cs="Arial"/>
                <w:sz w:val="17"/>
                <w:szCs w:val="17"/>
              </w:rPr>
            </w:pPr>
            <w:r w:rsidRPr="005E7BF5">
              <w:rPr>
                <w:rFonts w:ascii="Arial" w:hAnsi="Arial" w:cs="Arial"/>
                <w:sz w:val="17"/>
                <w:szCs w:val="17"/>
              </w:rPr>
              <w:t>158,124,775</w:t>
            </w:r>
          </w:p>
        </w:tc>
        <w:tc>
          <w:tcPr>
            <w:tcW w:w="2189" w:type="dxa"/>
            <w:gridSpan w:val="2"/>
            <w:tcBorders>
              <w:top w:val="single" w:sz="4" w:space="0" w:color="auto"/>
              <w:left w:val="nil"/>
              <w:bottom w:val="single" w:sz="4" w:space="0" w:color="auto"/>
              <w:right w:val="single" w:sz="4" w:space="0" w:color="auto"/>
            </w:tcBorders>
            <w:shd w:val="clear" w:color="auto" w:fill="auto"/>
          </w:tcPr>
          <w:p w:rsidR="005E7BF5" w:rsidRPr="005E7BF5" w:rsidRDefault="005E7BF5" w:rsidP="005E7BF5">
            <w:pPr>
              <w:jc w:val="right"/>
              <w:rPr>
                <w:rFonts w:ascii="Arial" w:hAnsi="Arial" w:cs="Arial"/>
                <w:sz w:val="17"/>
                <w:szCs w:val="17"/>
              </w:rPr>
            </w:pPr>
            <w:r w:rsidRPr="005E7BF5">
              <w:rPr>
                <w:rFonts w:ascii="Arial" w:hAnsi="Arial" w:cs="Arial"/>
                <w:sz w:val="17"/>
                <w:szCs w:val="17"/>
              </w:rPr>
              <w:t xml:space="preserve"> 150,417,973 </w:t>
            </w:r>
          </w:p>
        </w:tc>
      </w:tr>
      <w:tr w:rsidR="005E7BF5" w:rsidRPr="002D70DA" w:rsidTr="005E7BF5">
        <w:trPr>
          <w:trHeight w:val="240"/>
          <w:jc w:val="center"/>
        </w:trPr>
        <w:tc>
          <w:tcPr>
            <w:tcW w:w="4901" w:type="dxa"/>
            <w:tcBorders>
              <w:top w:val="single" w:sz="4" w:space="0" w:color="auto"/>
              <w:left w:val="single" w:sz="4" w:space="0" w:color="auto"/>
              <w:bottom w:val="single" w:sz="4" w:space="0" w:color="auto"/>
              <w:right w:val="single" w:sz="4" w:space="0" w:color="auto"/>
            </w:tcBorders>
            <w:shd w:val="clear" w:color="auto" w:fill="auto"/>
          </w:tcPr>
          <w:p w:rsidR="005E7BF5" w:rsidRPr="00E10447" w:rsidRDefault="005E7BF5" w:rsidP="005E7BF5">
            <w:pPr>
              <w:rPr>
                <w:rFonts w:ascii="Arial" w:hAnsi="Arial" w:cs="Arial"/>
                <w:sz w:val="17"/>
                <w:szCs w:val="17"/>
              </w:rPr>
            </w:pPr>
            <w:r w:rsidRPr="005E7BF5">
              <w:rPr>
                <w:rFonts w:ascii="Arial" w:hAnsi="Arial" w:cs="Arial"/>
                <w:sz w:val="17"/>
                <w:szCs w:val="17"/>
              </w:rPr>
              <w:t>Otros Activos Intangibles</w:t>
            </w:r>
          </w:p>
        </w:tc>
        <w:tc>
          <w:tcPr>
            <w:tcW w:w="2180" w:type="dxa"/>
            <w:tcBorders>
              <w:top w:val="single" w:sz="4" w:space="0" w:color="auto"/>
              <w:left w:val="nil"/>
              <w:bottom w:val="single" w:sz="4" w:space="0" w:color="auto"/>
              <w:right w:val="single" w:sz="4" w:space="0" w:color="auto"/>
            </w:tcBorders>
            <w:shd w:val="clear" w:color="auto" w:fill="auto"/>
          </w:tcPr>
          <w:p w:rsidR="005E7BF5" w:rsidRPr="005E7BF5" w:rsidRDefault="00CA4B4B" w:rsidP="005E7BF5">
            <w:pPr>
              <w:jc w:val="right"/>
              <w:rPr>
                <w:rFonts w:ascii="Arial" w:hAnsi="Arial" w:cs="Arial"/>
                <w:sz w:val="17"/>
                <w:szCs w:val="17"/>
              </w:rPr>
            </w:pPr>
            <w:r w:rsidRPr="00CA4B4B">
              <w:rPr>
                <w:rFonts w:ascii="Arial" w:hAnsi="Arial" w:cs="Arial"/>
                <w:sz w:val="17"/>
                <w:szCs w:val="17"/>
              </w:rPr>
              <w:t>11,020</w:t>
            </w:r>
          </w:p>
        </w:tc>
        <w:tc>
          <w:tcPr>
            <w:tcW w:w="2189" w:type="dxa"/>
            <w:gridSpan w:val="2"/>
            <w:tcBorders>
              <w:top w:val="single" w:sz="4" w:space="0" w:color="auto"/>
              <w:left w:val="nil"/>
              <w:bottom w:val="single" w:sz="4" w:space="0" w:color="auto"/>
              <w:right w:val="single" w:sz="4" w:space="0" w:color="auto"/>
            </w:tcBorders>
            <w:shd w:val="clear" w:color="auto" w:fill="auto"/>
          </w:tcPr>
          <w:p w:rsidR="005E7BF5" w:rsidRPr="005E7BF5" w:rsidRDefault="00CA4B4B" w:rsidP="005E7BF5">
            <w:pPr>
              <w:jc w:val="right"/>
              <w:rPr>
                <w:rFonts w:ascii="Arial" w:hAnsi="Arial" w:cs="Arial"/>
                <w:sz w:val="17"/>
                <w:szCs w:val="17"/>
              </w:rPr>
            </w:pPr>
            <w:r>
              <w:rPr>
                <w:rFonts w:ascii="Arial" w:hAnsi="Arial" w:cs="Arial"/>
                <w:sz w:val="17"/>
                <w:szCs w:val="17"/>
              </w:rPr>
              <w:t>0</w:t>
            </w:r>
          </w:p>
        </w:tc>
      </w:tr>
      <w:tr w:rsidR="005E7BF5" w:rsidRPr="002D70DA" w:rsidTr="005E7BF5">
        <w:trPr>
          <w:gridAfter w:val="1"/>
          <w:wAfter w:w="10" w:type="dxa"/>
          <w:trHeight w:val="240"/>
          <w:jc w:val="center"/>
        </w:trPr>
        <w:tc>
          <w:tcPr>
            <w:tcW w:w="4901" w:type="dxa"/>
            <w:tcBorders>
              <w:top w:val="nil"/>
              <w:left w:val="nil"/>
              <w:bottom w:val="nil"/>
              <w:right w:val="single" w:sz="4" w:space="0" w:color="auto"/>
            </w:tcBorders>
            <w:shd w:val="clear" w:color="000000" w:fill="FFFFFF"/>
            <w:vAlign w:val="center"/>
            <w:hideMark/>
          </w:tcPr>
          <w:p w:rsidR="005E7BF5" w:rsidRPr="002D70DA" w:rsidRDefault="005E7BF5" w:rsidP="005E7BF5">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5E7BF5" w:rsidRPr="00E10447" w:rsidRDefault="00CA4B4B" w:rsidP="005E7BF5">
            <w:pPr>
              <w:jc w:val="right"/>
              <w:rPr>
                <w:rFonts w:ascii="Arial" w:hAnsi="Arial" w:cs="Arial"/>
                <w:b/>
                <w:sz w:val="17"/>
                <w:szCs w:val="17"/>
              </w:rPr>
            </w:pPr>
            <w:r w:rsidRPr="00CA4B4B">
              <w:rPr>
                <w:rFonts w:ascii="Arial" w:hAnsi="Arial" w:cs="Arial"/>
                <w:b/>
                <w:sz w:val="17"/>
                <w:szCs w:val="17"/>
              </w:rPr>
              <w:t>281,448,936</w:t>
            </w:r>
          </w:p>
        </w:tc>
        <w:tc>
          <w:tcPr>
            <w:tcW w:w="2179" w:type="dxa"/>
            <w:tcBorders>
              <w:top w:val="nil"/>
              <w:left w:val="single" w:sz="4" w:space="0" w:color="auto"/>
              <w:bottom w:val="single" w:sz="4" w:space="0" w:color="auto"/>
              <w:right w:val="single" w:sz="4" w:space="0" w:color="auto"/>
            </w:tcBorders>
            <w:shd w:val="clear" w:color="000000" w:fill="FFFFFF"/>
          </w:tcPr>
          <w:p w:rsidR="005E7BF5" w:rsidRDefault="005E7BF5" w:rsidP="005E7BF5">
            <w:pPr>
              <w:jc w:val="right"/>
            </w:pPr>
            <w:r w:rsidRPr="0055696E">
              <w:t xml:space="preserve"> </w:t>
            </w:r>
            <w:r w:rsidRPr="005E7BF5">
              <w:rPr>
                <w:rFonts w:ascii="Arial" w:hAnsi="Arial" w:cs="Arial"/>
                <w:b/>
                <w:sz w:val="17"/>
                <w:szCs w:val="17"/>
              </w:rPr>
              <w:t>269,600,654</w:t>
            </w:r>
            <w:r w:rsidRPr="0055696E">
              <w:t xml:space="preserve"> </w:t>
            </w:r>
          </w:p>
        </w:tc>
      </w:tr>
    </w:tbl>
    <w:p w:rsidR="00D33839" w:rsidRDefault="00D33839" w:rsidP="00C647ED">
      <w:pPr>
        <w:spacing w:before="80" w:line="250" w:lineRule="exact"/>
        <w:ind w:left="709"/>
        <w:jc w:val="both"/>
        <w:rPr>
          <w:rFonts w:ascii="Arial" w:eastAsia="Calibri" w:hAnsi="Arial" w:cs="Arial"/>
          <w:spacing w:val="-1"/>
          <w:sz w:val="17"/>
          <w:szCs w:val="17"/>
        </w:rPr>
      </w:pPr>
    </w:p>
    <w:p w:rsidR="00FB2635" w:rsidRDefault="00D33839" w:rsidP="00C647ED">
      <w:pPr>
        <w:spacing w:before="80" w:line="250" w:lineRule="exact"/>
        <w:ind w:left="709"/>
        <w:jc w:val="both"/>
        <w:rPr>
          <w:rFonts w:ascii="Arial" w:eastAsia="Calibri" w:hAnsi="Arial" w:cs="Arial"/>
          <w:spacing w:val="-1"/>
          <w:sz w:val="17"/>
          <w:szCs w:val="17"/>
        </w:rPr>
      </w:pPr>
      <w:r w:rsidRPr="00D33839">
        <w:rPr>
          <w:rFonts w:ascii="Arial" w:eastAsia="Calibri" w:hAnsi="Arial" w:cs="Arial"/>
          <w:spacing w:val="-1"/>
          <w:sz w:val="17"/>
          <w:szCs w:val="17"/>
        </w:rPr>
        <w:t xml:space="preserve">El incremento en el saldo del rubro Activos Intangibles, corresponde </w:t>
      </w:r>
      <w:r w:rsidR="00E10447">
        <w:rPr>
          <w:rFonts w:ascii="Arial" w:eastAsia="Calibri" w:hAnsi="Arial" w:cs="Arial"/>
          <w:spacing w:val="-1"/>
          <w:sz w:val="17"/>
          <w:szCs w:val="17"/>
        </w:rPr>
        <w:t xml:space="preserve">principalmente </w:t>
      </w:r>
      <w:r w:rsidRPr="00D33839">
        <w:rPr>
          <w:rFonts w:ascii="Arial" w:eastAsia="Calibri" w:hAnsi="Arial" w:cs="Arial"/>
          <w:spacing w:val="-1"/>
          <w:sz w:val="17"/>
          <w:szCs w:val="17"/>
        </w:rPr>
        <w:t>a la incorporación de licencias informáticas, por parte de</w:t>
      </w:r>
      <w:r w:rsidR="00CA4B4B">
        <w:rPr>
          <w:rFonts w:ascii="Arial" w:eastAsia="Calibri" w:hAnsi="Arial" w:cs="Arial"/>
          <w:spacing w:val="-1"/>
          <w:sz w:val="17"/>
          <w:szCs w:val="17"/>
        </w:rPr>
        <w:t>l Poder</w:t>
      </w:r>
      <w:r>
        <w:rPr>
          <w:rFonts w:ascii="Arial" w:eastAsia="Calibri" w:hAnsi="Arial" w:cs="Arial"/>
          <w:spacing w:val="-1"/>
          <w:sz w:val="17"/>
          <w:szCs w:val="17"/>
        </w:rPr>
        <w:t>.</w:t>
      </w:r>
    </w:p>
    <w:p w:rsidR="00A91D78" w:rsidRDefault="00A91D78">
      <w:pPr>
        <w:rPr>
          <w:rFonts w:ascii="Arial" w:eastAsia="Calibri" w:hAnsi="Arial" w:cs="Arial"/>
          <w:spacing w:val="-1"/>
          <w:sz w:val="17"/>
          <w:szCs w:val="17"/>
        </w:rPr>
      </w:pPr>
    </w:p>
    <w:p w:rsidR="001B5113" w:rsidRDefault="001B5113">
      <w:pPr>
        <w:rPr>
          <w:rFonts w:ascii="Arial" w:eastAsia="Calibri" w:hAnsi="Arial" w:cs="Arial"/>
          <w:spacing w:val="-1"/>
          <w:sz w:val="17"/>
          <w:szCs w:val="17"/>
        </w:rPr>
      </w:pPr>
      <w:r>
        <w:rPr>
          <w:rFonts w:ascii="Arial" w:eastAsia="Calibri" w:hAnsi="Arial" w:cs="Arial"/>
          <w:spacing w:val="-1"/>
          <w:sz w:val="17"/>
          <w:szCs w:val="17"/>
        </w:rPr>
        <w:br w:type="page"/>
      </w:r>
    </w:p>
    <w:p w:rsidR="00FB2635" w:rsidRDefault="00FB2635" w:rsidP="00FB2635">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lastRenderedPageBreak/>
        <w:t>El cual está distribuido de la siguiente manera:</w:t>
      </w:r>
    </w:p>
    <w:p w:rsidR="00AE1697" w:rsidRPr="002D70DA" w:rsidRDefault="00FB2635" w:rsidP="00AE1697">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 xml:space="preserve"> </w:t>
      </w:r>
      <w:r w:rsidR="00AE1697"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155FC3" w:rsidRPr="002D70DA" w:rsidTr="00CA4B4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55FC3" w:rsidRPr="002D70DA" w:rsidRDefault="00155FC3" w:rsidP="00F338A3">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155FC3"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155FC3"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2019</w:t>
            </w:r>
          </w:p>
        </w:tc>
      </w:tr>
      <w:tr w:rsidR="00CA4B4B" w:rsidRPr="002D70DA" w:rsidTr="00CA4B4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A4B4B" w:rsidRPr="00C34218" w:rsidRDefault="00CA4B4B" w:rsidP="00CA4B4B">
            <w:pPr>
              <w:rPr>
                <w:rFonts w:ascii="Arial" w:hAnsi="Arial" w:cs="Arial"/>
                <w:b/>
                <w:sz w:val="17"/>
                <w:szCs w:val="17"/>
              </w:rPr>
            </w:pPr>
            <w:r w:rsidRPr="00C34218">
              <w:rPr>
                <w:rFonts w:ascii="Arial" w:hAnsi="Arial" w:cs="Arial"/>
                <w:b/>
                <w:sz w:val="17"/>
                <w:szCs w:val="17"/>
              </w:rPr>
              <w:t>Poder Ejecutivo</w:t>
            </w:r>
          </w:p>
        </w:tc>
        <w:tc>
          <w:tcPr>
            <w:tcW w:w="2180" w:type="dxa"/>
            <w:tcBorders>
              <w:top w:val="single" w:sz="4" w:space="0" w:color="auto"/>
              <w:left w:val="nil"/>
              <w:bottom w:val="single" w:sz="4" w:space="0" w:color="auto"/>
              <w:right w:val="single" w:sz="4" w:space="0" w:color="auto"/>
            </w:tcBorders>
            <w:shd w:val="clear" w:color="auto" w:fill="auto"/>
          </w:tcPr>
          <w:p w:rsidR="00CA4B4B" w:rsidRPr="00CA4B4B" w:rsidRDefault="00CA4B4B" w:rsidP="00CA4B4B">
            <w:pPr>
              <w:jc w:val="right"/>
              <w:rPr>
                <w:rFonts w:ascii="Arial" w:hAnsi="Arial" w:cs="Arial"/>
                <w:b/>
                <w:sz w:val="17"/>
                <w:szCs w:val="17"/>
              </w:rPr>
            </w:pPr>
            <w:r w:rsidRPr="00CA4B4B">
              <w:rPr>
                <w:rFonts w:ascii="Arial" w:hAnsi="Arial" w:cs="Arial"/>
                <w:b/>
                <w:sz w:val="17"/>
                <w:szCs w:val="17"/>
              </w:rPr>
              <w:t xml:space="preserve">220,123,970 </w:t>
            </w:r>
          </w:p>
        </w:tc>
        <w:tc>
          <w:tcPr>
            <w:tcW w:w="2180" w:type="dxa"/>
            <w:tcBorders>
              <w:top w:val="single" w:sz="4" w:space="0" w:color="auto"/>
              <w:left w:val="nil"/>
              <w:bottom w:val="single" w:sz="4" w:space="0" w:color="auto"/>
              <w:right w:val="single" w:sz="4" w:space="0" w:color="auto"/>
            </w:tcBorders>
            <w:shd w:val="clear" w:color="auto" w:fill="auto"/>
          </w:tcPr>
          <w:p w:rsidR="00CA4B4B" w:rsidRPr="00CA4B4B" w:rsidRDefault="00CA4B4B" w:rsidP="00CA4B4B">
            <w:pPr>
              <w:jc w:val="right"/>
              <w:rPr>
                <w:rFonts w:ascii="Arial" w:hAnsi="Arial" w:cs="Arial"/>
                <w:b/>
                <w:sz w:val="17"/>
                <w:szCs w:val="17"/>
              </w:rPr>
            </w:pPr>
            <w:r w:rsidRPr="00CA4B4B">
              <w:rPr>
                <w:rFonts w:ascii="Arial" w:hAnsi="Arial" w:cs="Arial"/>
                <w:b/>
                <w:sz w:val="17"/>
                <w:szCs w:val="17"/>
              </w:rPr>
              <w:t xml:space="preserve">209,245,074 </w:t>
            </w:r>
          </w:p>
        </w:tc>
      </w:tr>
      <w:tr w:rsidR="00CA4B4B" w:rsidRPr="002D70DA" w:rsidTr="00CA4B4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A4B4B" w:rsidRPr="00C34218" w:rsidRDefault="00CA4B4B" w:rsidP="00CA4B4B">
            <w:pPr>
              <w:rPr>
                <w:rFonts w:ascii="Arial" w:hAnsi="Arial" w:cs="Arial"/>
                <w:b/>
                <w:sz w:val="17"/>
                <w:szCs w:val="17"/>
              </w:rPr>
            </w:pPr>
            <w:r w:rsidRPr="00C34218">
              <w:rPr>
                <w:rFonts w:ascii="Arial" w:hAnsi="Arial" w:cs="Arial"/>
                <w:b/>
                <w:sz w:val="17"/>
                <w:szCs w:val="17"/>
              </w:rPr>
              <w:t>Poder Judicial</w:t>
            </w:r>
          </w:p>
        </w:tc>
        <w:tc>
          <w:tcPr>
            <w:tcW w:w="2180" w:type="dxa"/>
            <w:tcBorders>
              <w:top w:val="single" w:sz="4" w:space="0" w:color="auto"/>
              <w:left w:val="nil"/>
              <w:bottom w:val="single" w:sz="4" w:space="0" w:color="auto"/>
              <w:right w:val="single" w:sz="4" w:space="0" w:color="auto"/>
            </w:tcBorders>
            <w:shd w:val="clear" w:color="auto" w:fill="auto"/>
          </w:tcPr>
          <w:p w:rsidR="00CA4B4B" w:rsidRPr="00CA4B4B" w:rsidRDefault="00CA4B4B" w:rsidP="00CA4B4B">
            <w:pPr>
              <w:jc w:val="right"/>
              <w:rPr>
                <w:rFonts w:ascii="Arial" w:hAnsi="Arial" w:cs="Arial"/>
                <w:b/>
                <w:sz w:val="17"/>
                <w:szCs w:val="17"/>
              </w:rPr>
            </w:pPr>
            <w:r w:rsidRPr="00CA4B4B">
              <w:rPr>
                <w:rFonts w:ascii="Arial" w:hAnsi="Arial" w:cs="Arial"/>
                <w:b/>
                <w:sz w:val="17"/>
                <w:szCs w:val="17"/>
              </w:rPr>
              <w:t xml:space="preserve">25,078,471 </w:t>
            </w:r>
          </w:p>
        </w:tc>
        <w:tc>
          <w:tcPr>
            <w:tcW w:w="2180" w:type="dxa"/>
            <w:tcBorders>
              <w:top w:val="single" w:sz="4" w:space="0" w:color="auto"/>
              <w:left w:val="nil"/>
              <w:bottom w:val="single" w:sz="4" w:space="0" w:color="auto"/>
              <w:right w:val="single" w:sz="4" w:space="0" w:color="auto"/>
            </w:tcBorders>
            <w:shd w:val="clear" w:color="auto" w:fill="auto"/>
          </w:tcPr>
          <w:p w:rsidR="00CA4B4B" w:rsidRPr="00CA4B4B" w:rsidRDefault="00CA4B4B" w:rsidP="00CA4B4B">
            <w:pPr>
              <w:jc w:val="right"/>
              <w:rPr>
                <w:rFonts w:ascii="Arial" w:hAnsi="Arial" w:cs="Arial"/>
                <w:b/>
                <w:sz w:val="17"/>
                <w:szCs w:val="17"/>
              </w:rPr>
            </w:pPr>
            <w:r w:rsidRPr="00CA4B4B">
              <w:rPr>
                <w:rFonts w:ascii="Arial" w:hAnsi="Arial" w:cs="Arial"/>
                <w:b/>
                <w:sz w:val="17"/>
                <w:szCs w:val="17"/>
              </w:rPr>
              <w:t xml:space="preserve">20,438,471 </w:t>
            </w:r>
          </w:p>
        </w:tc>
      </w:tr>
      <w:tr w:rsidR="00CA4B4B" w:rsidRPr="002D70DA" w:rsidTr="00CA4B4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A4B4B" w:rsidRPr="00C34218" w:rsidRDefault="00CA4B4B" w:rsidP="00CA4B4B">
            <w:pPr>
              <w:rPr>
                <w:rFonts w:ascii="Arial" w:hAnsi="Arial" w:cs="Arial"/>
                <w:b/>
                <w:sz w:val="17"/>
                <w:szCs w:val="17"/>
              </w:rPr>
            </w:pPr>
            <w:r w:rsidRPr="00C34218">
              <w:rPr>
                <w:rFonts w:ascii="Arial" w:hAnsi="Arial" w:cs="Arial"/>
                <w:b/>
                <w:sz w:val="17"/>
                <w:szCs w:val="17"/>
              </w:rPr>
              <w:t>Poder Legislativo</w:t>
            </w:r>
          </w:p>
        </w:tc>
        <w:tc>
          <w:tcPr>
            <w:tcW w:w="2180" w:type="dxa"/>
            <w:tcBorders>
              <w:top w:val="single" w:sz="4" w:space="0" w:color="auto"/>
              <w:left w:val="nil"/>
              <w:bottom w:val="single" w:sz="4" w:space="0" w:color="auto"/>
              <w:right w:val="single" w:sz="4" w:space="0" w:color="auto"/>
            </w:tcBorders>
            <w:shd w:val="clear" w:color="auto" w:fill="auto"/>
          </w:tcPr>
          <w:p w:rsidR="00CA4B4B" w:rsidRPr="00CA4B4B" w:rsidRDefault="00CA4B4B" w:rsidP="00CA4B4B">
            <w:pPr>
              <w:jc w:val="right"/>
              <w:rPr>
                <w:rFonts w:ascii="Arial" w:hAnsi="Arial" w:cs="Arial"/>
                <w:b/>
                <w:sz w:val="17"/>
                <w:szCs w:val="17"/>
              </w:rPr>
            </w:pPr>
            <w:r w:rsidRPr="00CA4B4B">
              <w:rPr>
                <w:rFonts w:ascii="Arial" w:hAnsi="Arial" w:cs="Arial"/>
                <w:b/>
                <w:sz w:val="17"/>
                <w:szCs w:val="17"/>
              </w:rPr>
              <w:t xml:space="preserve">1,461,622 </w:t>
            </w:r>
          </w:p>
        </w:tc>
        <w:tc>
          <w:tcPr>
            <w:tcW w:w="2180" w:type="dxa"/>
            <w:tcBorders>
              <w:top w:val="single" w:sz="4" w:space="0" w:color="auto"/>
              <w:left w:val="nil"/>
              <w:bottom w:val="single" w:sz="4" w:space="0" w:color="auto"/>
              <w:right w:val="single" w:sz="4" w:space="0" w:color="auto"/>
            </w:tcBorders>
            <w:shd w:val="clear" w:color="auto" w:fill="auto"/>
          </w:tcPr>
          <w:p w:rsidR="00CA4B4B" w:rsidRPr="00CA4B4B" w:rsidRDefault="00CA4B4B" w:rsidP="00CA4B4B">
            <w:pPr>
              <w:jc w:val="right"/>
              <w:rPr>
                <w:rFonts w:ascii="Arial" w:hAnsi="Arial" w:cs="Arial"/>
                <w:b/>
                <w:sz w:val="17"/>
                <w:szCs w:val="17"/>
              </w:rPr>
            </w:pPr>
            <w:r w:rsidRPr="00CA4B4B">
              <w:rPr>
                <w:rFonts w:ascii="Arial" w:hAnsi="Arial" w:cs="Arial"/>
                <w:b/>
                <w:sz w:val="17"/>
                <w:szCs w:val="17"/>
              </w:rPr>
              <w:t xml:space="preserve">1,420,022 </w:t>
            </w:r>
          </w:p>
        </w:tc>
      </w:tr>
      <w:tr w:rsidR="00CA4B4B" w:rsidRPr="002D70DA" w:rsidTr="00CA4B4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A4B4B" w:rsidRPr="00C34218" w:rsidRDefault="00CA4B4B" w:rsidP="00CA4B4B">
            <w:pPr>
              <w:rPr>
                <w:rFonts w:ascii="Arial" w:hAnsi="Arial" w:cs="Arial"/>
                <w:b/>
                <w:sz w:val="17"/>
                <w:szCs w:val="17"/>
              </w:rPr>
            </w:pPr>
            <w:r w:rsidRPr="00C34218">
              <w:rPr>
                <w:rFonts w:ascii="Arial" w:hAnsi="Arial" w:cs="Arial"/>
                <w:b/>
                <w:sz w:val="17"/>
                <w:szCs w:val="17"/>
              </w:rPr>
              <w:t>Órganos Autónomos</w:t>
            </w:r>
          </w:p>
        </w:tc>
        <w:tc>
          <w:tcPr>
            <w:tcW w:w="2180" w:type="dxa"/>
            <w:tcBorders>
              <w:top w:val="single" w:sz="4" w:space="0" w:color="auto"/>
              <w:left w:val="nil"/>
              <w:bottom w:val="single" w:sz="4" w:space="0" w:color="auto"/>
              <w:right w:val="single" w:sz="4" w:space="0" w:color="auto"/>
            </w:tcBorders>
            <w:shd w:val="clear" w:color="auto" w:fill="auto"/>
          </w:tcPr>
          <w:p w:rsidR="00CA4B4B" w:rsidRPr="00CA4B4B" w:rsidRDefault="00CA4B4B" w:rsidP="00CA4B4B">
            <w:pPr>
              <w:jc w:val="right"/>
              <w:rPr>
                <w:rFonts w:ascii="Arial" w:hAnsi="Arial" w:cs="Arial"/>
                <w:b/>
                <w:sz w:val="17"/>
                <w:szCs w:val="17"/>
              </w:rPr>
            </w:pPr>
            <w:r w:rsidRPr="00CA4B4B">
              <w:rPr>
                <w:rFonts w:ascii="Arial" w:hAnsi="Arial" w:cs="Arial"/>
                <w:b/>
                <w:sz w:val="17"/>
                <w:szCs w:val="17"/>
              </w:rPr>
              <w:t xml:space="preserve">34,784,874 </w:t>
            </w:r>
          </w:p>
        </w:tc>
        <w:tc>
          <w:tcPr>
            <w:tcW w:w="2180" w:type="dxa"/>
            <w:tcBorders>
              <w:top w:val="single" w:sz="4" w:space="0" w:color="auto"/>
              <w:left w:val="nil"/>
              <w:bottom w:val="single" w:sz="4" w:space="0" w:color="auto"/>
              <w:right w:val="single" w:sz="4" w:space="0" w:color="auto"/>
            </w:tcBorders>
            <w:shd w:val="clear" w:color="auto" w:fill="auto"/>
          </w:tcPr>
          <w:p w:rsidR="00CA4B4B" w:rsidRPr="00CA4B4B" w:rsidRDefault="00CA4B4B" w:rsidP="00CA4B4B">
            <w:pPr>
              <w:jc w:val="right"/>
              <w:rPr>
                <w:rFonts w:ascii="Arial" w:hAnsi="Arial" w:cs="Arial"/>
                <w:b/>
                <w:sz w:val="17"/>
                <w:szCs w:val="17"/>
              </w:rPr>
            </w:pPr>
            <w:r w:rsidRPr="00CA4B4B">
              <w:rPr>
                <w:rFonts w:ascii="Arial" w:hAnsi="Arial" w:cs="Arial"/>
                <w:b/>
                <w:sz w:val="17"/>
                <w:szCs w:val="17"/>
              </w:rPr>
              <w:t xml:space="preserve">38,497,087 </w:t>
            </w:r>
          </w:p>
        </w:tc>
      </w:tr>
      <w:tr w:rsidR="00CA4B4B" w:rsidRPr="002D70DA" w:rsidTr="00CA4B4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A4B4B" w:rsidRPr="00560A6D" w:rsidRDefault="00CA4B4B" w:rsidP="00CA4B4B">
            <w:pPr>
              <w:ind w:left="497"/>
              <w:rPr>
                <w:rFonts w:ascii="Arial" w:hAnsi="Arial" w:cs="Arial"/>
                <w:sz w:val="17"/>
                <w:szCs w:val="17"/>
              </w:rPr>
            </w:pPr>
            <w:r w:rsidRPr="00C34218">
              <w:rPr>
                <w:rFonts w:ascii="Arial" w:hAnsi="Arial" w:cs="Arial"/>
                <w:sz w:val="17"/>
                <w:szCs w:val="17"/>
              </w:rPr>
              <w:t>Defensoría de los Derechos Humanos de Querétaro</w:t>
            </w:r>
          </w:p>
        </w:tc>
        <w:tc>
          <w:tcPr>
            <w:tcW w:w="2180" w:type="dxa"/>
            <w:tcBorders>
              <w:top w:val="single" w:sz="4" w:space="0" w:color="auto"/>
              <w:left w:val="nil"/>
              <w:bottom w:val="single" w:sz="4" w:space="0" w:color="auto"/>
              <w:right w:val="single" w:sz="4" w:space="0" w:color="auto"/>
            </w:tcBorders>
            <w:shd w:val="clear" w:color="auto" w:fill="auto"/>
          </w:tcPr>
          <w:p w:rsidR="00CA4B4B" w:rsidRPr="00CA4B4B" w:rsidRDefault="00CA4B4B" w:rsidP="00CA4B4B">
            <w:pPr>
              <w:jc w:val="right"/>
              <w:rPr>
                <w:rFonts w:ascii="Arial" w:hAnsi="Arial" w:cs="Arial"/>
                <w:sz w:val="17"/>
                <w:szCs w:val="17"/>
              </w:rPr>
            </w:pPr>
            <w:r w:rsidRPr="00CA4B4B">
              <w:rPr>
                <w:rFonts w:ascii="Arial" w:hAnsi="Arial" w:cs="Arial"/>
                <w:sz w:val="17"/>
                <w:szCs w:val="17"/>
              </w:rPr>
              <w:t xml:space="preserve">427,804 </w:t>
            </w:r>
          </w:p>
        </w:tc>
        <w:tc>
          <w:tcPr>
            <w:tcW w:w="2180" w:type="dxa"/>
            <w:tcBorders>
              <w:top w:val="single" w:sz="4" w:space="0" w:color="auto"/>
              <w:left w:val="nil"/>
              <w:bottom w:val="single" w:sz="4" w:space="0" w:color="auto"/>
              <w:right w:val="single" w:sz="4" w:space="0" w:color="auto"/>
            </w:tcBorders>
            <w:shd w:val="clear" w:color="auto" w:fill="auto"/>
          </w:tcPr>
          <w:p w:rsidR="00CA4B4B" w:rsidRPr="00CA4B4B" w:rsidRDefault="00CA4B4B" w:rsidP="00CA4B4B">
            <w:pPr>
              <w:jc w:val="right"/>
              <w:rPr>
                <w:rFonts w:ascii="Arial" w:hAnsi="Arial" w:cs="Arial"/>
                <w:sz w:val="17"/>
                <w:szCs w:val="17"/>
              </w:rPr>
            </w:pPr>
            <w:r w:rsidRPr="00CA4B4B">
              <w:rPr>
                <w:rFonts w:ascii="Arial" w:hAnsi="Arial" w:cs="Arial"/>
                <w:sz w:val="17"/>
                <w:szCs w:val="17"/>
              </w:rPr>
              <w:t xml:space="preserve">347,246 </w:t>
            </w:r>
          </w:p>
        </w:tc>
      </w:tr>
      <w:tr w:rsidR="00CA4B4B" w:rsidRPr="002D70DA" w:rsidTr="00CA4B4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A4B4B" w:rsidRPr="00C34218" w:rsidRDefault="00CA4B4B" w:rsidP="00CA4B4B">
            <w:pPr>
              <w:ind w:left="497"/>
              <w:rPr>
                <w:rFonts w:ascii="Arial" w:hAnsi="Arial" w:cs="Arial"/>
                <w:sz w:val="17"/>
                <w:szCs w:val="17"/>
              </w:rPr>
            </w:pPr>
            <w:r w:rsidRPr="00C34218">
              <w:rPr>
                <w:rFonts w:ascii="Arial" w:hAnsi="Arial" w:cs="Arial"/>
                <w:sz w:val="17"/>
                <w:szCs w:val="17"/>
              </w:rPr>
              <w:t>Entidad Superior de Fiscalización del Estado de</w:t>
            </w:r>
          </w:p>
          <w:p w:rsidR="00CA4B4B" w:rsidRPr="00C34218" w:rsidRDefault="00CA4B4B" w:rsidP="00CA4B4B">
            <w:pPr>
              <w:ind w:left="497"/>
              <w:rPr>
                <w:rFonts w:ascii="Arial" w:hAnsi="Arial" w:cs="Arial"/>
                <w:sz w:val="17"/>
                <w:szCs w:val="17"/>
              </w:rPr>
            </w:pPr>
            <w:r w:rsidRPr="00C34218">
              <w:rPr>
                <w:rFonts w:ascii="Arial" w:hAnsi="Arial" w:cs="Arial"/>
                <w:sz w:val="17"/>
                <w:szCs w:val="17"/>
              </w:rPr>
              <w:t>Querétaro</w:t>
            </w:r>
          </w:p>
        </w:tc>
        <w:tc>
          <w:tcPr>
            <w:tcW w:w="2180" w:type="dxa"/>
            <w:tcBorders>
              <w:top w:val="single" w:sz="4" w:space="0" w:color="auto"/>
              <w:left w:val="nil"/>
              <w:bottom w:val="single" w:sz="4" w:space="0" w:color="auto"/>
              <w:right w:val="single" w:sz="4" w:space="0" w:color="auto"/>
            </w:tcBorders>
            <w:shd w:val="clear" w:color="auto" w:fill="auto"/>
          </w:tcPr>
          <w:p w:rsidR="00CA4B4B" w:rsidRPr="00CA4B4B" w:rsidRDefault="00CA4B4B" w:rsidP="00CA4B4B">
            <w:pPr>
              <w:jc w:val="right"/>
              <w:rPr>
                <w:rFonts w:ascii="Arial" w:hAnsi="Arial" w:cs="Arial"/>
                <w:sz w:val="17"/>
                <w:szCs w:val="17"/>
              </w:rPr>
            </w:pPr>
            <w:r w:rsidRPr="00CA4B4B">
              <w:rPr>
                <w:rFonts w:ascii="Arial" w:hAnsi="Arial" w:cs="Arial"/>
                <w:sz w:val="17"/>
                <w:szCs w:val="17"/>
              </w:rPr>
              <w:t xml:space="preserve">1,085,612 </w:t>
            </w:r>
          </w:p>
        </w:tc>
        <w:tc>
          <w:tcPr>
            <w:tcW w:w="2180" w:type="dxa"/>
            <w:tcBorders>
              <w:top w:val="single" w:sz="4" w:space="0" w:color="auto"/>
              <w:left w:val="nil"/>
              <w:bottom w:val="single" w:sz="4" w:space="0" w:color="auto"/>
              <w:right w:val="single" w:sz="4" w:space="0" w:color="auto"/>
            </w:tcBorders>
            <w:shd w:val="clear" w:color="auto" w:fill="auto"/>
          </w:tcPr>
          <w:p w:rsidR="00CA4B4B" w:rsidRPr="00CA4B4B" w:rsidRDefault="00CA4B4B" w:rsidP="00CA4B4B">
            <w:pPr>
              <w:jc w:val="right"/>
              <w:rPr>
                <w:rFonts w:ascii="Arial" w:hAnsi="Arial" w:cs="Arial"/>
                <w:sz w:val="17"/>
                <w:szCs w:val="17"/>
              </w:rPr>
            </w:pPr>
            <w:r w:rsidRPr="00CA4B4B">
              <w:rPr>
                <w:rFonts w:ascii="Arial" w:hAnsi="Arial" w:cs="Arial"/>
                <w:sz w:val="17"/>
                <w:szCs w:val="17"/>
              </w:rPr>
              <w:t xml:space="preserve">778,444 </w:t>
            </w:r>
          </w:p>
        </w:tc>
      </w:tr>
      <w:tr w:rsidR="00CA4B4B" w:rsidRPr="002D70DA" w:rsidTr="00CA4B4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A4B4B" w:rsidRPr="00C34218" w:rsidRDefault="00CA4B4B" w:rsidP="00CA4B4B">
            <w:pPr>
              <w:ind w:left="497"/>
              <w:rPr>
                <w:rFonts w:ascii="Arial" w:hAnsi="Arial" w:cs="Arial"/>
                <w:sz w:val="17"/>
                <w:szCs w:val="17"/>
              </w:rPr>
            </w:pPr>
            <w:r w:rsidRPr="00C34218">
              <w:rPr>
                <w:rFonts w:ascii="Arial" w:hAnsi="Arial" w:cs="Arial"/>
                <w:sz w:val="17"/>
                <w:szCs w:val="17"/>
              </w:rPr>
              <w:t>Fiscalía General del Estado</w:t>
            </w:r>
          </w:p>
        </w:tc>
        <w:tc>
          <w:tcPr>
            <w:tcW w:w="2180" w:type="dxa"/>
            <w:tcBorders>
              <w:top w:val="single" w:sz="4" w:space="0" w:color="auto"/>
              <w:left w:val="nil"/>
              <w:bottom w:val="single" w:sz="4" w:space="0" w:color="auto"/>
              <w:right w:val="single" w:sz="4" w:space="0" w:color="auto"/>
            </w:tcBorders>
            <w:shd w:val="clear" w:color="auto" w:fill="auto"/>
          </w:tcPr>
          <w:p w:rsidR="00CA4B4B" w:rsidRPr="00CA4B4B" w:rsidRDefault="00CA4B4B" w:rsidP="00CA4B4B">
            <w:pPr>
              <w:jc w:val="right"/>
              <w:rPr>
                <w:rFonts w:ascii="Arial" w:hAnsi="Arial" w:cs="Arial"/>
                <w:sz w:val="17"/>
                <w:szCs w:val="17"/>
              </w:rPr>
            </w:pPr>
            <w:r w:rsidRPr="00CA4B4B">
              <w:rPr>
                <w:rFonts w:ascii="Arial" w:hAnsi="Arial" w:cs="Arial"/>
                <w:sz w:val="17"/>
                <w:szCs w:val="17"/>
              </w:rPr>
              <w:t xml:space="preserve">32,659,362 </w:t>
            </w:r>
          </w:p>
        </w:tc>
        <w:tc>
          <w:tcPr>
            <w:tcW w:w="2180" w:type="dxa"/>
            <w:tcBorders>
              <w:top w:val="single" w:sz="4" w:space="0" w:color="auto"/>
              <w:left w:val="nil"/>
              <w:bottom w:val="single" w:sz="4" w:space="0" w:color="auto"/>
              <w:right w:val="single" w:sz="4" w:space="0" w:color="auto"/>
            </w:tcBorders>
            <w:shd w:val="clear" w:color="auto" w:fill="auto"/>
          </w:tcPr>
          <w:p w:rsidR="00CA4B4B" w:rsidRPr="00CA4B4B" w:rsidRDefault="00CA4B4B" w:rsidP="00CA4B4B">
            <w:pPr>
              <w:jc w:val="right"/>
              <w:rPr>
                <w:rFonts w:ascii="Arial" w:hAnsi="Arial" w:cs="Arial"/>
                <w:sz w:val="17"/>
                <w:szCs w:val="17"/>
              </w:rPr>
            </w:pPr>
            <w:r w:rsidRPr="00CA4B4B">
              <w:rPr>
                <w:rFonts w:ascii="Arial" w:hAnsi="Arial" w:cs="Arial"/>
                <w:sz w:val="17"/>
                <w:szCs w:val="17"/>
              </w:rPr>
              <w:t xml:space="preserve">36,838,645 </w:t>
            </w:r>
          </w:p>
        </w:tc>
      </w:tr>
      <w:tr w:rsidR="00CA4B4B" w:rsidRPr="002D70DA" w:rsidTr="00CA4B4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A4B4B" w:rsidRPr="00560A6D" w:rsidRDefault="00CA4B4B" w:rsidP="00CA4B4B">
            <w:pPr>
              <w:ind w:left="497"/>
              <w:rPr>
                <w:rFonts w:ascii="Arial" w:hAnsi="Arial" w:cs="Arial"/>
                <w:sz w:val="17"/>
                <w:szCs w:val="17"/>
              </w:rPr>
            </w:pPr>
            <w:r w:rsidRPr="00C34218">
              <w:rPr>
                <w:rFonts w:ascii="Arial" w:hAnsi="Arial" w:cs="Arial"/>
                <w:sz w:val="17"/>
                <w:szCs w:val="17"/>
              </w:rPr>
              <w:t>Instituto Electoral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CA4B4B" w:rsidRPr="00CA4B4B" w:rsidRDefault="00CA4B4B" w:rsidP="00CA4B4B">
            <w:pPr>
              <w:jc w:val="right"/>
              <w:rPr>
                <w:rFonts w:ascii="Arial" w:hAnsi="Arial" w:cs="Arial"/>
                <w:sz w:val="17"/>
                <w:szCs w:val="17"/>
              </w:rPr>
            </w:pPr>
            <w:r w:rsidRPr="00CA4B4B">
              <w:rPr>
                <w:rFonts w:ascii="Arial" w:hAnsi="Arial" w:cs="Arial"/>
                <w:sz w:val="17"/>
                <w:szCs w:val="17"/>
              </w:rPr>
              <w:t xml:space="preserve">309,698 </w:t>
            </w:r>
          </w:p>
        </w:tc>
        <w:tc>
          <w:tcPr>
            <w:tcW w:w="2180" w:type="dxa"/>
            <w:tcBorders>
              <w:top w:val="single" w:sz="4" w:space="0" w:color="auto"/>
              <w:left w:val="nil"/>
              <w:bottom w:val="single" w:sz="4" w:space="0" w:color="auto"/>
              <w:right w:val="single" w:sz="4" w:space="0" w:color="auto"/>
            </w:tcBorders>
            <w:shd w:val="clear" w:color="auto" w:fill="auto"/>
          </w:tcPr>
          <w:p w:rsidR="00CA4B4B" w:rsidRPr="00CA4B4B" w:rsidRDefault="00CA4B4B" w:rsidP="00CA4B4B">
            <w:pPr>
              <w:jc w:val="right"/>
              <w:rPr>
                <w:rFonts w:ascii="Arial" w:hAnsi="Arial" w:cs="Arial"/>
                <w:sz w:val="17"/>
                <w:szCs w:val="17"/>
              </w:rPr>
            </w:pPr>
            <w:r w:rsidRPr="00CA4B4B">
              <w:rPr>
                <w:rFonts w:ascii="Arial" w:hAnsi="Arial" w:cs="Arial"/>
                <w:sz w:val="17"/>
                <w:szCs w:val="17"/>
              </w:rPr>
              <w:t xml:space="preserve">309,698 </w:t>
            </w:r>
          </w:p>
        </w:tc>
      </w:tr>
      <w:tr w:rsidR="00CA4B4B" w:rsidRPr="002D70DA" w:rsidTr="00CA4B4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A4B4B" w:rsidRPr="00C34218" w:rsidRDefault="00CA4B4B" w:rsidP="00CA4B4B">
            <w:pPr>
              <w:ind w:left="497"/>
              <w:rPr>
                <w:rFonts w:ascii="Arial" w:hAnsi="Arial" w:cs="Arial"/>
                <w:sz w:val="17"/>
                <w:szCs w:val="17"/>
              </w:rPr>
            </w:pPr>
            <w:r w:rsidRPr="00C34218">
              <w:rPr>
                <w:rFonts w:ascii="Arial" w:hAnsi="Arial" w:cs="Arial"/>
                <w:sz w:val="17"/>
                <w:szCs w:val="17"/>
              </w:rPr>
              <w:t>Tribunal de Conciliación y Arbitraje</w:t>
            </w:r>
          </w:p>
        </w:tc>
        <w:tc>
          <w:tcPr>
            <w:tcW w:w="2180" w:type="dxa"/>
            <w:tcBorders>
              <w:top w:val="single" w:sz="4" w:space="0" w:color="auto"/>
              <w:left w:val="nil"/>
              <w:bottom w:val="single" w:sz="4" w:space="0" w:color="auto"/>
              <w:right w:val="single" w:sz="4" w:space="0" w:color="auto"/>
            </w:tcBorders>
            <w:shd w:val="clear" w:color="auto" w:fill="auto"/>
          </w:tcPr>
          <w:p w:rsidR="00CA4B4B" w:rsidRPr="00CA4B4B" w:rsidRDefault="00CA4B4B" w:rsidP="00CA4B4B">
            <w:pPr>
              <w:jc w:val="right"/>
              <w:rPr>
                <w:rFonts w:ascii="Arial" w:hAnsi="Arial" w:cs="Arial"/>
                <w:sz w:val="17"/>
                <w:szCs w:val="17"/>
              </w:rPr>
            </w:pPr>
            <w:r w:rsidRPr="00CA4B4B">
              <w:rPr>
                <w:rFonts w:ascii="Arial" w:hAnsi="Arial" w:cs="Arial"/>
                <w:sz w:val="17"/>
                <w:szCs w:val="17"/>
              </w:rPr>
              <w:t xml:space="preserve">85,671 </w:t>
            </w:r>
          </w:p>
        </w:tc>
        <w:tc>
          <w:tcPr>
            <w:tcW w:w="2180" w:type="dxa"/>
            <w:tcBorders>
              <w:top w:val="single" w:sz="4" w:space="0" w:color="auto"/>
              <w:left w:val="nil"/>
              <w:bottom w:val="single" w:sz="4" w:space="0" w:color="auto"/>
              <w:right w:val="single" w:sz="4" w:space="0" w:color="auto"/>
            </w:tcBorders>
            <w:shd w:val="clear" w:color="auto" w:fill="auto"/>
          </w:tcPr>
          <w:p w:rsidR="00CA4B4B" w:rsidRPr="00CA4B4B" w:rsidRDefault="00CA4B4B" w:rsidP="00CA4B4B">
            <w:pPr>
              <w:jc w:val="right"/>
              <w:rPr>
                <w:rFonts w:ascii="Arial" w:hAnsi="Arial" w:cs="Arial"/>
                <w:sz w:val="17"/>
                <w:szCs w:val="17"/>
              </w:rPr>
            </w:pPr>
            <w:r w:rsidRPr="00CA4B4B">
              <w:rPr>
                <w:rFonts w:ascii="Arial" w:hAnsi="Arial" w:cs="Arial"/>
                <w:sz w:val="17"/>
                <w:szCs w:val="17"/>
              </w:rPr>
              <w:t xml:space="preserve">62,844 </w:t>
            </w:r>
          </w:p>
        </w:tc>
      </w:tr>
      <w:tr w:rsidR="00CA4B4B" w:rsidRPr="002D70DA" w:rsidTr="00CA4B4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A4B4B" w:rsidRPr="00C34218" w:rsidRDefault="00CA4B4B" w:rsidP="00CA4B4B">
            <w:pPr>
              <w:ind w:left="497"/>
              <w:rPr>
                <w:rFonts w:ascii="Arial" w:hAnsi="Arial" w:cs="Arial"/>
                <w:sz w:val="17"/>
                <w:szCs w:val="17"/>
              </w:rPr>
            </w:pPr>
            <w:r w:rsidRPr="00C34218">
              <w:rPr>
                <w:rFonts w:ascii="Arial" w:hAnsi="Arial" w:cs="Arial"/>
                <w:sz w:val="17"/>
                <w:szCs w:val="17"/>
              </w:rPr>
              <w:t>Tribunal de Justicia Administrativa del Estado de</w:t>
            </w:r>
          </w:p>
          <w:p w:rsidR="00CA4B4B" w:rsidRPr="00560A6D" w:rsidRDefault="00CA4B4B" w:rsidP="00CA4B4B">
            <w:pPr>
              <w:ind w:left="497"/>
              <w:rPr>
                <w:rFonts w:ascii="Arial" w:hAnsi="Arial" w:cs="Arial"/>
                <w:sz w:val="17"/>
                <w:szCs w:val="17"/>
              </w:rPr>
            </w:pPr>
            <w:r w:rsidRPr="00C34218">
              <w:rPr>
                <w:rFonts w:ascii="Arial" w:hAnsi="Arial" w:cs="Arial"/>
                <w:sz w:val="17"/>
                <w:szCs w:val="17"/>
              </w:rPr>
              <w:t>Querétaro</w:t>
            </w:r>
          </w:p>
        </w:tc>
        <w:tc>
          <w:tcPr>
            <w:tcW w:w="2180" w:type="dxa"/>
            <w:tcBorders>
              <w:top w:val="single" w:sz="4" w:space="0" w:color="auto"/>
              <w:left w:val="nil"/>
              <w:bottom w:val="single" w:sz="4" w:space="0" w:color="auto"/>
              <w:right w:val="single" w:sz="4" w:space="0" w:color="auto"/>
            </w:tcBorders>
            <w:shd w:val="clear" w:color="auto" w:fill="auto"/>
          </w:tcPr>
          <w:p w:rsidR="00CA4B4B" w:rsidRPr="00CA4B4B" w:rsidRDefault="00CA4B4B" w:rsidP="00CA4B4B">
            <w:pPr>
              <w:jc w:val="right"/>
              <w:rPr>
                <w:rFonts w:ascii="Arial" w:hAnsi="Arial" w:cs="Arial"/>
                <w:sz w:val="17"/>
                <w:szCs w:val="17"/>
              </w:rPr>
            </w:pPr>
            <w:r w:rsidRPr="00CA4B4B">
              <w:rPr>
                <w:rFonts w:ascii="Arial" w:hAnsi="Arial" w:cs="Arial"/>
                <w:sz w:val="17"/>
                <w:szCs w:val="17"/>
              </w:rPr>
              <w:t xml:space="preserve">72,669 </w:t>
            </w:r>
          </w:p>
        </w:tc>
        <w:tc>
          <w:tcPr>
            <w:tcW w:w="2180" w:type="dxa"/>
            <w:tcBorders>
              <w:top w:val="single" w:sz="4" w:space="0" w:color="auto"/>
              <w:left w:val="nil"/>
              <w:bottom w:val="single" w:sz="4" w:space="0" w:color="auto"/>
              <w:right w:val="single" w:sz="4" w:space="0" w:color="auto"/>
            </w:tcBorders>
            <w:shd w:val="clear" w:color="auto" w:fill="auto"/>
          </w:tcPr>
          <w:p w:rsidR="00CA4B4B" w:rsidRPr="00CA4B4B" w:rsidRDefault="00CA4B4B" w:rsidP="00CA4B4B">
            <w:pPr>
              <w:jc w:val="right"/>
              <w:rPr>
                <w:rFonts w:ascii="Arial" w:hAnsi="Arial" w:cs="Arial"/>
                <w:sz w:val="17"/>
                <w:szCs w:val="17"/>
              </w:rPr>
            </w:pPr>
            <w:r w:rsidRPr="00CA4B4B">
              <w:rPr>
                <w:rFonts w:ascii="Arial" w:hAnsi="Arial" w:cs="Arial"/>
                <w:sz w:val="17"/>
                <w:szCs w:val="17"/>
              </w:rPr>
              <w:t xml:space="preserve">72,669 </w:t>
            </w:r>
          </w:p>
        </w:tc>
      </w:tr>
      <w:tr w:rsidR="00CA4B4B" w:rsidRPr="002D70DA" w:rsidTr="00CA4B4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A4B4B" w:rsidRPr="00560A6D" w:rsidRDefault="00CA4B4B" w:rsidP="00CA4B4B">
            <w:pPr>
              <w:ind w:left="497"/>
              <w:rPr>
                <w:rFonts w:ascii="Arial" w:hAnsi="Arial" w:cs="Arial"/>
                <w:sz w:val="17"/>
                <w:szCs w:val="17"/>
              </w:rPr>
            </w:pPr>
            <w:r w:rsidRPr="00C34218">
              <w:rPr>
                <w:rFonts w:ascii="Arial" w:hAnsi="Arial" w:cs="Arial"/>
                <w:sz w:val="17"/>
                <w:szCs w:val="17"/>
              </w:rPr>
              <w:t>Tribunal Electoral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CA4B4B" w:rsidRPr="00CA4B4B" w:rsidRDefault="00CA4B4B" w:rsidP="00CA4B4B">
            <w:pPr>
              <w:jc w:val="right"/>
              <w:rPr>
                <w:rFonts w:ascii="Arial" w:hAnsi="Arial" w:cs="Arial"/>
                <w:sz w:val="17"/>
                <w:szCs w:val="17"/>
              </w:rPr>
            </w:pPr>
            <w:r w:rsidRPr="00CA4B4B">
              <w:rPr>
                <w:rFonts w:ascii="Arial" w:hAnsi="Arial" w:cs="Arial"/>
                <w:sz w:val="17"/>
                <w:szCs w:val="17"/>
              </w:rPr>
              <w:t xml:space="preserve">144,058 </w:t>
            </w:r>
          </w:p>
        </w:tc>
        <w:tc>
          <w:tcPr>
            <w:tcW w:w="2180" w:type="dxa"/>
            <w:tcBorders>
              <w:top w:val="single" w:sz="4" w:space="0" w:color="auto"/>
              <w:left w:val="nil"/>
              <w:bottom w:val="single" w:sz="4" w:space="0" w:color="auto"/>
              <w:right w:val="single" w:sz="4" w:space="0" w:color="auto"/>
            </w:tcBorders>
            <w:shd w:val="clear" w:color="auto" w:fill="auto"/>
          </w:tcPr>
          <w:p w:rsidR="00CA4B4B" w:rsidRPr="00CA4B4B" w:rsidRDefault="00CA4B4B" w:rsidP="00CA4B4B">
            <w:pPr>
              <w:jc w:val="right"/>
              <w:rPr>
                <w:rFonts w:ascii="Arial" w:hAnsi="Arial" w:cs="Arial"/>
                <w:sz w:val="17"/>
                <w:szCs w:val="17"/>
              </w:rPr>
            </w:pPr>
            <w:r w:rsidRPr="00CA4B4B">
              <w:rPr>
                <w:rFonts w:ascii="Arial" w:hAnsi="Arial" w:cs="Arial"/>
                <w:sz w:val="17"/>
                <w:szCs w:val="17"/>
              </w:rPr>
              <w:t xml:space="preserve">87,541 </w:t>
            </w:r>
          </w:p>
        </w:tc>
      </w:tr>
      <w:tr w:rsidR="00CA4B4B" w:rsidRPr="002D70DA" w:rsidTr="00CA4B4B">
        <w:trPr>
          <w:trHeight w:val="240"/>
          <w:jc w:val="center"/>
        </w:trPr>
        <w:tc>
          <w:tcPr>
            <w:tcW w:w="4900" w:type="dxa"/>
            <w:tcBorders>
              <w:top w:val="nil"/>
              <w:left w:val="nil"/>
              <w:bottom w:val="nil"/>
              <w:right w:val="single" w:sz="4" w:space="0" w:color="auto"/>
            </w:tcBorders>
            <w:shd w:val="clear" w:color="000000" w:fill="FFFFFF"/>
            <w:vAlign w:val="center"/>
            <w:hideMark/>
          </w:tcPr>
          <w:p w:rsidR="00CA4B4B" w:rsidRPr="002D70DA" w:rsidRDefault="00CA4B4B" w:rsidP="00CA4B4B">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CA4B4B" w:rsidRPr="000545B0" w:rsidRDefault="00CA4B4B" w:rsidP="00CA4B4B">
            <w:pPr>
              <w:jc w:val="right"/>
              <w:rPr>
                <w:rFonts w:ascii="Arial" w:hAnsi="Arial" w:cs="Arial"/>
                <w:b/>
                <w:sz w:val="17"/>
                <w:szCs w:val="17"/>
              </w:rPr>
            </w:pPr>
            <w:r w:rsidRPr="00CA4B4B">
              <w:rPr>
                <w:rFonts w:ascii="Arial" w:hAnsi="Arial" w:cs="Arial"/>
                <w:b/>
                <w:sz w:val="17"/>
                <w:szCs w:val="17"/>
              </w:rPr>
              <w:t xml:space="preserve">281,448,936 </w:t>
            </w:r>
            <w:r w:rsidRPr="000545B0">
              <w:rPr>
                <w:rFonts w:ascii="Arial" w:hAnsi="Arial" w:cs="Arial"/>
                <w:b/>
                <w:sz w:val="17"/>
                <w:szCs w:val="17"/>
              </w:rPr>
              <w:t xml:space="preserve"> </w:t>
            </w:r>
          </w:p>
        </w:tc>
        <w:tc>
          <w:tcPr>
            <w:tcW w:w="2180" w:type="dxa"/>
            <w:tcBorders>
              <w:top w:val="nil"/>
              <w:left w:val="single" w:sz="4" w:space="0" w:color="auto"/>
              <w:bottom w:val="single" w:sz="4" w:space="0" w:color="auto"/>
              <w:right w:val="single" w:sz="4" w:space="0" w:color="auto"/>
            </w:tcBorders>
            <w:shd w:val="clear" w:color="000000" w:fill="FFFFFF"/>
          </w:tcPr>
          <w:p w:rsidR="00CA4B4B" w:rsidRPr="00CA4B4B" w:rsidRDefault="00CA4B4B" w:rsidP="00CA4B4B">
            <w:pPr>
              <w:jc w:val="right"/>
              <w:rPr>
                <w:rFonts w:ascii="Arial" w:hAnsi="Arial" w:cs="Arial"/>
                <w:b/>
                <w:sz w:val="17"/>
                <w:szCs w:val="17"/>
              </w:rPr>
            </w:pPr>
            <w:r w:rsidRPr="00CA4B4B">
              <w:rPr>
                <w:rFonts w:ascii="Arial" w:hAnsi="Arial" w:cs="Arial"/>
                <w:b/>
                <w:sz w:val="17"/>
                <w:szCs w:val="17"/>
              </w:rPr>
              <w:t xml:space="preserve">269,600,654 </w:t>
            </w:r>
          </w:p>
        </w:tc>
      </w:tr>
    </w:tbl>
    <w:p w:rsidR="00FB2635" w:rsidRDefault="00FB2635" w:rsidP="00145CB3">
      <w:pPr>
        <w:spacing w:before="80" w:line="250" w:lineRule="exact"/>
        <w:ind w:left="709"/>
        <w:jc w:val="both"/>
        <w:rPr>
          <w:rFonts w:ascii="Arial" w:eastAsia="Calibri" w:hAnsi="Arial" w:cs="Arial"/>
          <w:spacing w:val="-1"/>
          <w:sz w:val="17"/>
          <w:szCs w:val="17"/>
        </w:rPr>
      </w:pPr>
    </w:p>
    <w:p w:rsidR="00D33839" w:rsidRDefault="00D33839">
      <w:pPr>
        <w:rPr>
          <w:rFonts w:ascii="Arial" w:eastAsia="Calibri" w:hAnsi="Arial" w:cs="Arial"/>
          <w:spacing w:val="-1"/>
          <w:sz w:val="17"/>
          <w:szCs w:val="17"/>
        </w:rPr>
      </w:pPr>
    </w:p>
    <w:p w:rsidR="006E6D44" w:rsidRPr="00077B39" w:rsidRDefault="006E6D44" w:rsidP="006E6D44">
      <w:pPr>
        <w:spacing w:before="80" w:line="250" w:lineRule="exact"/>
        <w:ind w:left="709"/>
        <w:jc w:val="both"/>
        <w:rPr>
          <w:rFonts w:ascii="Arial" w:eastAsia="Calibri" w:hAnsi="Arial" w:cs="Arial"/>
          <w:spacing w:val="-1"/>
          <w:sz w:val="17"/>
          <w:szCs w:val="17"/>
        </w:rPr>
      </w:pPr>
      <w:r w:rsidRPr="00077B39">
        <w:rPr>
          <w:rFonts w:ascii="Arial" w:eastAsia="Calibri" w:hAnsi="Arial" w:cs="Arial"/>
          <w:spacing w:val="-1"/>
          <w:sz w:val="17"/>
          <w:szCs w:val="17"/>
        </w:rPr>
        <w:t xml:space="preserve">Se informa </w:t>
      </w:r>
      <w:r>
        <w:rPr>
          <w:rFonts w:ascii="Arial" w:eastAsia="Calibri" w:hAnsi="Arial" w:cs="Arial"/>
          <w:spacing w:val="-1"/>
          <w:sz w:val="17"/>
          <w:szCs w:val="17"/>
        </w:rPr>
        <w:t>de la cuenta</w:t>
      </w:r>
      <w:r w:rsidRPr="00077B39">
        <w:rPr>
          <w:rFonts w:ascii="Arial" w:eastAsia="Calibri" w:hAnsi="Arial" w:cs="Arial"/>
          <w:spacing w:val="-1"/>
          <w:sz w:val="17"/>
          <w:szCs w:val="17"/>
        </w:rPr>
        <w:t xml:space="preserve"> de bienes, el monto al 31 de diciembre del </w:t>
      </w:r>
      <w:r w:rsidR="00FD7D84">
        <w:rPr>
          <w:rFonts w:ascii="Arial" w:eastAsia="Calibri" w:hAnsi="Arial" w:cs="Arial"/>
          <w:spacing w:val="-1"/>
          <w:sz w:val="17"/>
          <w:szCs w:val="17"/>
        </w:rPr>
        <w:t>2020</w:t>
      </w:r>
      <w:r w:rsidRPr="00077B39">
        <w:rPr>
          <w:rFonts w:ascii="Arial" w:eastAsia="Calibri" w:hAnsi="Arial" w:cs="Arial"/>
          <w:spacing w:val="-1"/>
          <w:sz w:val="17"/>
          <w:szCs w:val="17"/>
        </w:rPr>
        <w:t xml:space="preserve"> de la depreciaci</w:t>
      </w:r>
      <w:r>
        <w:rPr>
          <w:rFonts w:ascii="Arial" w:eastAsia="Calibri" w:hAnsi="Arial" w:cs="Arial"/>
          <w:spacing w:val="-1"/>
          <w:sz w:val="17"/>
          <w:szCs w:val="17"/>
        </w:rPr>
        <w:t>ón del ejercicio y la acumulada</w:t>
      </w:r>
      <w:r w:rsidRPr="00077B39">
        <w:rPr>
          <w:rFonts w:ascii="Arial" w:eastAsia="Calibri" w:hAnsi="Arial" w:cs="Arial"/>
          <w:spacing w:val="-1"/>
          <w:sz w:val="17"/>
          <w:szCs w:val="17"/>
        </w:rPr>
        <w:t>:</w:t>
      </w:r>
    </w:p>
    <w:p w:rsidR="006E6D44" w:rsidRPr="00077B39" w:rsidRDefault="006E6D44" w:rsidP="006E6D44">
      <w:pPr>
        <w:autoSpaceDE w:val="0"/>
        <w:autoSpaceDN w:val="0"/>
        <w:adjustRightInd w:val="0"/>
        <w:spacing w:before="240" w:after="120"/>
        <w:ind w:left="360"/>
        <w:jc w:val="center"/>
        <w:rPr>
          <w:rFonts w:ascii="Arial" w:eastAsia="Calibri" w:hAnsi="Arial" w:cs="Arial"/>
          <w:b/>
          <w:spacing w:val="-1"/>
          <w:sz w:val="17"/>
          <w:szCs w:val="17"/>
        </w:rPr>
      </w:pPr>
      <w:r w:rsidRPr="00077B39">
        <w:rPr>
          <w:rFonts w:ascii="Arial" w:eastAsia="Calibri" w:hAnsi="Arial" w:cs="Arial"/>
          <w:b/>
          <w:spacing w:val="-1"/>
          <w:sz w:val="17"/>
          <w:szCs w:val="17"/>
        </w:rPr>
        <w:t>(Pesos)</w:t>
      </w:r>
    </w:p>
    <w:tbl>
      <w:tblPr>
        <w:tblW w:w="2236" w:type="pct"/>
        <w:jc w:val="center"/>
        <w:tblCellMar>
          <w:left w:w="70" w:type="dxa"/>
          <w:right w:w="70" w:type="dxa"/>
        </w:tblCellMar>
        <w:tblLook w:val="04A0" w:firstRow="1" w:lastRow="0" w:firstColumn="1" w:lastColumn="0" w:noHBand="0" w:noVBand="1"/>
      </w:tblPr>
      <w:tblGrid>
        <w:gridCol w:w="3048"/>
        <w:gridCol w:w="1446"/>
        <w:gridCol w:w="1444"/>
      </w:tblGrid>
      <w:tr w:rsidR="006E6D44" w:rsidRPr="002D70DA" w:rsidTr="002E2741">
        <w:trPr>
          <w:trHeight w:val="299"/>
          <w:jc w:val="center"/>
        </w:trPr>
        <w:tc>
          <w:tcPr>
            <w:tcW w:w="2566" w:type="pct"/>
            <w:vMerge w:val="restart"/>
            <w:tcBorders>
              <w:top w:val="single" w:sz="4" w:space="0" w:color="auto"/>
              <w:left w:val="single" w:sz="4" w:space="0" w:color="auto"/>
              <w:right w:val="single" w:sz="4" w:space="0" w:color="auto"/>
            </w:tcBorders>
            <w:shd w:val="clear" w:color="auto" w:fill="D5DCE4" w:themeFill="text2" w:themeFillTint="33"/>
            <w:vAlign w:val="center"/>
            <w:hideMark/>
          </w:tcPr>
          <w:p w:rsidR="006E6D44" w:rsidRPr="002D70DA" w:rsidRDefault="006E6D44" w:rsidP="00E9318E">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1218" w:type="pct"/>
            <w:vMerge w:val="restart"/>
            <w:tcBorders>
              <w:top w:val="single" w:sz="4" w:space="0" w:color="auto"/>
              <w:left w:val="nil"/>
              <w:right w:val="single" w:sz="4" w:space="0" w:color="auto"/>
            </w:tcBorders>
            <w:shd w:val="clear" w:color="auto" w:fill="D5DCE4" w:themeFill="text2" w:themeFillTint="33"/>
            <w:vAlign w:val="center"/>
            <w:hideMark/>
          </w:tcPr>
          <w:p w:rsidR="006E6D44" w:rsidRPr="002D70DA" w:rsidRDefault="006E6D44" w:rsidP="00E9318E">
            <w:pPr>
              <w:jc w:val="center"/>
              <w:rPr>
                <w:rFonts w:ascii="Arial" w:hAnsi="Arial" w:cs="Arial"/>
                <w:b/>
                <w:bCs/>
                <w:color w:val="000000"/>
                <w:sz w:val="17"/>
                <w:szCs w:val="17"/>
              </w:rPr>
            </w:pPr>
            <w:r w:rsidRPr="002D70DA">
              <w:rPr>
                <w:rFonts w:ascii="Arial" w:hAnsi="Arial" w:cs="Arial"/>
                <w:b/>
                <w:bCs/>
                <w:color w:val="000000"/>
                <w:sz w:val="17"/>
                <w:szCs w:val="17"/>
              </w:rPr>
              <w:t>Monto de depreciación del ejercicio</w:t>
            </w:r>
          </w:p>
        </w:tc>
        <w:tc>
          <w:tcPr>
            <w:tcW w:w="1217" w:type="pct"/>
            <w:vMerge w:val="restart"/>
            <w:tcBorders>
              <w:top w:val="single" w:sz="4" w:space="0" w:color="auto"/>
              <w:left w:val="nil"/>
              <w:right w:val="single" w:sz="4" w:space="0" w:color="auto"/>
            </w:tcBorders>
            <w:shd w:val="clear" w:color="auto" w:fill="D5DCE4" w:themeFill="text2" w:themeFillTint="33"/>
            <w:vAlign w:val="center"/>
            <w:hideMark/>
          </w:tcPr>
          <w:p w:rsidR="006E6D44" w:rsidRPr="002D70DA" w:rsidRDefault="006E6D44" w:rsidP="00E9318E">
            <w:pPr>
              <w:jc w:val="center"/>
              <w:rPr>
                <w:rFonts w:ascii="Arial" w:hAnsi="Arial" w:cs="Arial"/>
                <w:b/>
                <w:bCs/>
                <w:color w:val="000000"/>
                <w:sz w:val="17"/>
                <w:szCs w:val="17"/>
              </w:rPr>
            </w:pPr>
            <w:r w:rsidRPr="002D70DA">
              <w:rPr>
                <w:rFonts w:ascii="Arial" w:hAnsi="Arial" w:cs="Arial"/>
                <w:b/>
                <w:bCs/>
                <w:color w:val="000000"/>
                <w:sz w:val="17"/>
                <w:szCs w:val="17"/>
              </w:rPr>
              <w:t>Monto de depreciación acumulada</w:t>
            </w:r>
          </w:p>
        </w:tc>
      </w:tr>
      <w:tr w:rsidR="006E6D44" w:rsidRPr="002D70DA" w:rsidTr="002E2741">
        <w:trPr>
          <w:trHeight w:val="299"/>
          <w:jc w:val="center"/>
        </w:trPr>
        <w:tc>
          <w:tcPr>
            <w:tcW w:w="2566" w:type="pct"/>
            <w:vMerge/>
            <w:tcBorders>
              <w:left w:val="single" w:sz="4" w:space="0" w:color="auto"/>
              <w:bottom w:val="single" w:sz="4" w:space="0" w:color="auto"/>
              <w:right w:val="single" w:sz="4" w:space="0" w:color="auto"/>
            </w:tcBorders>
            <w:shd w:val="clear" w:color="000000" w:fill="F2F2F2"/>
            <w:vAlign w:val="center"/>
          </w:tcPr>
          <w:p w:rsidR="006E6D44" w:rsidRPr="002D70DA" w:rsidRDefault="006E6D44" w:rsidP="00E9318E">
            <w:pPr>
              <w:jc w:val="center"/>
              <w:rPr>
                <w:rFonts w:ascii="Arial" w:hAnsi="Arial" w:cs="Arial"/>
                <w:b/>
                <w:bCs/>
                <w:color w:val="000000"/>
                <w:sz w:val="17"/>
                <w:szCs w:val="17"/>
              </w:rPr>
            </w:pPr>
          </w:p>
        </w:tc>
        <w:tc>
          <w:tcPr>
            <w:tcW w:w="1218" w:type="pct"/>
            <w:vMerge/>
            <w:tcBorders>
              <w:left w:val="nil"/>
              <w:bottom w:val="single" w:sz="4" w:space="0" w:color="auto"/>
              <w:right w:val="single" w:sz="4" w:space="0" w:color="auto"/>
            </w:tcBorders>
            <w:shd w:val="clear" w:color="000000" w:fill="F2F2F2"/>
            <w:vAlign w:val="center"/>
          </w:tcPr>
          <w:p w:rsidR="006E6D44" w:rsidRPr="002D70DA" w:rsidRDefault="006E6D44" w:rsidP="00E9318E">
            <w:pPr>
              <w:jc w:val="center"/>
              <w:rPr>
                <w:rFonts w:ascii="Arial" w:hAnsi="Arial" w:cs="Arial"/>
                <w:b/>
                <w:bCs/>
                <w:color w:val="000000"/>
                <w:sz w:val="17"/>
                <w:szCs w:val="17"/>
              </w:rPr>
            </w:pPr>
          </w:p>
        </w:tc>
        <w:tc>
          <w:tcPr>
            <w:tcW w:w="1217" w:type="pct"/>
            <w:vMerge/>
            <w:tcBorders>
              <w:left w:val="nil"/>
              <w:bottom w:val="single" w:sz="4" w:space="0" w:color="auto"/>
              <w:right w:val="single" w:sz="4" w:space="0" w:color="auto"/>
            </w:tcBorders>
            <w:shd w:val="clear" w:color="000000" w:fill="F2F2F2"/>
            <w:vAlign w:val="center"/>
          </w:tcPr>
          <w:p w:rsidR="006E6D44" w:rsidRPr="002D70DA" w:rsidRDefault="006E6D44" w:rsidP="00E9318E">
            <w:pPr>
              <w:jc w:val="center"/>
              <w:rPr>
                <w:rFonts w:ascii="Arial" w:hAnsi="Arial" w:cs="Arial"/>
                <w:b/>
                <w:bCs/>
                <w:color w:val="000000"/>
                <w:sz w:val="17"/>
                <w:szCs w:val="17"/>
              </w:rPr>
            </w:pPr>
          </w:p>
        </w:tc>
      </w:tr>
      <w:tr w:rsidR="002E2741" w:rsidRPr="002D70DA" w:rsidTr="002E2741">
        <w:trPr>
          <w:trHeight w:val="240"/>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rsidR="002E2741" w:rsidRPr="002D70DA" w:rsidRDefault="002E2741" w:rsidP="002E2741">
            <w:pPr>
              <w:rPr>
                <w:rFonts w:ascii="Arial" w:hAnsi="Arial" w:cs="Arial"/>
                <w:color w:val="000000"/>
                <w:sz w:val="17"/>
                <w:szCs w:val="17"/>
              </w:rPr>
            </w:pPr>
            <w:r w:rsidRPr="009B6079">
              <w:rPr>
                <w:rFonts w:ascii="Arial" w:hAnsi="Arial" w:cs="Arial"/>
                <w:color w:val="000000"/>
                <w:sz w:val="17"/>
                <w:szCs w:val="17"/>
              </w:rPr>
              <w:t>Depreciac</w:t>
            </w:r>
            <w:r>
              <w:rPr>
                <w:rFonts w:ascii="Arial" w:hAnsi="Arial" w:cs="Arial"/>
                <w:color w:val="000000"/>
                <w:sz w:val="17"/>
                <w:szCs w:val="17"/>
              </w:rPr>
              <w:t>ión Acumulada de Bienes</w:t>
            </w:r>
          </w:p>
        </w:tc>
        <w:tc>
          <w:tcPr>
            <w:tcW w:w="1218" w:type="pct"/>
            <w:tcBorders>
              <w:top w:val="nil"/>
              <w:left w:val="nil"/>
              <w:bottom w:val="single" w:sz="4" w:space="0" w:color="auto"/>
              <w:right w:val="single" w:sz="4" w:space="0" w:color="auto"/>
            </w:tcBorders>
            <w:shd w:val="clear" w:color="auto" w:fill="auto"/>
          </w:tcPr>
          <w:p w:rsidR="002E2741" w:rsidRPr="002E2741" w:rsidRDefault="002E2741" w:rsidP="002E2741">
            <w:pPr>
              <w:jc w:val="right"/>
              <w:rPr>
                <w:rFonts w:ascii="Arial" w:hAnsi="Arial" w:cs="Arial"/>
                <w:b/>
                <w:sz w:val="17"/>
                <w:szCs w:val="17"/>
              </w:rPr>
            </w:pPr>
            <w:r w:rsidRPr="002E2741">
              <w:rPr>
                <w:rFonts w:ascii="Arial" w:hAnsi="Arial" w:cs="Arial"/>
                <w:b/>
                <w:sz w:val="17"/>
                <w:szCs w:val="17"/>
              </w:rPr>
              <w:t xml:space="preserve"> </w:t>
            </w:r>
            <w:r w:rsidR="00B37F0C" w:rsidRPr="00B37F0C">
              <w:rPr>
                <w:rFonts w:ascii="Arial" w:hAnsi="Arial" w:cs="Arial"/>
                <w:b/>
                <w:sz w:val="17"/>
                <w:szCs w:val="17"/>
              </w:rPr>
              <w:t>319,367,160</w:t>
            </w:r>
          </w:p>
        </w:tc>
        <w:tc>
          <w:tcPr>
            <w:tcW w:w="1217" w:type="pct"/>
            <w:tcBorders>
              <w:top w:val="nil"/>
              <w:left w:val="nil"/>
              <w:bottom w:val="single" w:sz="4" w:space="0" w:color="auto"/>
              <w:right w:val="single" w:sz="4" w:space="0" w:color="auto"/>
            </w:tcBorders>
            <w:shd w:val="clear" w:color="auto" w:fill="auto"/>
          </w:tcPr>
          <w:p w:rsidR="002E2741" w:rsidRPr="002E2741" w:rsidRDefault="00B37F0C" w:rsidP="002E2741">
            <w:pPr>
              <w:jc w:val="right"/>
              <w:rPr>
                <w:rFonts w:ascii="Arial" w:hAnsi="Arial" w:cs="Arial"/>
                <w:b/>
                <w:sz w:val="17"/>
                <w:szCs w:val="17"/>
              </w:rPr>
            </w:pPr>
            <w:r w:rsidRPr="00B37F0C">
              <w:rPr>
                <w:rFonts w:ascii="Arial" w:hAnsi="Arial" w:cs="Arial"/>
                <w:b/>
                <w:sz w:val="17"/>
                <w:szCs w:val="17"/>
              </w:rPr>
              <w:t>1,468,409,504</w:t>
            </w:r>
          </w:p>
        </w:tc>
      </w:tr>
    </w:tbl>
    <w:p w:rsidR="006E6D44" w:rsidRDefault="006E6D44" w:rsidP="006E6D44">
      <w:pPr>
        <w:spacing w:before="80" w:line="250" w:lineRule="exact"/>
        <w:ind w:left="709"/>
        <w:jc w:val="both"/>
        <w:rPr>
          <w:rFonts w:ascii="Arial" w:eastAsia="Calibri" w:hAnsi="Arial" w:cs="Arial"/>
          <w:spacing w:val="-1"/>
          <w:sz w:val="17"/>
          <w:szCs w:val="17"/>
        </w:rPr>
      </w:pPr>
    </w:p>
    <w:p w:rsidR="000A6C91" w:rsidRDefault="000A6C91">
      <w:pPr>
        <w:rPr>
          <w:rFonts w:ascii="Arial" w:eastAsia="Calibri" w:hAnsi="Arial" w:cs="Arial"/>
          <w:spacing w:val="-1"/>
          <w:sz w:val="17"/>
          <w:szCs w:val="17"/>
        </w:rPr>
      </w:pPr>
    </w:p>
    <w:p w:rsidR="005C6C27" w:rsidRDefault="005C6C27">
      <w:pPr>
        <w:rPr>
          <w:rFonts w:ascii="Arial" w:eastAsia="Calibri" w:hAnsi="Arial" w:cs="Arial"/>
          <w:spacing w:val="-1"/>
          <w:sz w:val="17"/>
          <w:szCs w:val="17"/>
        </w:rPr>
      </w:pPr>
      <w:r>
        <w:rPr>
          <w:rFonts w:ascii="Arial" w:eastAsia="Calibri" w:hAnsi="Arial" w:cs="Arial"/>
          <w:spacing w:val="-1"/>
          <w:sz w:val="17"/>
          <w:szCs w:val="17"/>
        </w:rPr>
        <w:br w:type="page"/>
      </w:r>
    </w:p>
    <w:p w:rsidR="006E6D44" w:rsidRDefault="006E6D44" w:rsidP="006E6D44">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lastRenderedPageBreak/>
        <w:t>La cual está distribuido de la siguiente manera:</w:t>
      </w:r>
    </w:p>
    <w:p w:rsidR="006E6D44" w:rsidRPr="002D70DA" w:rsidRDefault="006E6D44" w:rsidP="006E6D44">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7080" w:type="dxa"/>
        <w:jc w:val="center"/>
        <w:tblCellMar>
          <w:left w:w="70" w:type="dxa"/>
          <w:right w:w="70" w:type="dxa"/>
        </w:tblCellMar>
        <w:tblLook w:val="04A0" w:firstRow="1" w:lastRow="0" w:firstColumn="1" w:lastColumn="0" w:noHBand="0" w:noVBand="1"/>
        <w:tblDescription w:val="monto"/>
      </w:tblPr>
      <w:tblGrid>
        <w:gridCol w:w="4900"/>
        <w:gridCol w:w="2180"/>
      </w:tblGrid>
      <w:tr w:rsidR="00FB2DE1" w:rsidRPr="002D70DA" w:rsidTr="00B37F0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FB2DE1" w:rsidRPr="002D70DA" w:rsidRDefault="00FB2DE1" w:rsidP="00F338A3">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B2DE1"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2020</w:t>
            </w:r>
          </w:p>
        </w:tc>
      </w:tr>
      <w:tr w:rsidR="00B37F0C" w:rsidRPr="002D70DA" w:rsidTr="00B37F0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37F0C" w:rsidRPr="00C34218" w:rsidRDefault="00B37F0C" w:rsidP="00B37F0C">
            <w:pPr>
              <w:rPr>
                <w:rFonts w:ascii="Arial" w:hAnsi="Arial" w:cs="Arial"/>
                <w:b/>
                <w:sz w:val="17"/>
                <w:szCs w:val="17"/>
              </w:rPr>
            </w:pPr>
            <w:r w:rsidRPr="00C34218">
              <w:rPr>
                <w:rFonts w:ascii="Arial" w:hAnsi="Arial" w:cs="Arial"/>
                <w:b/>
                <w:sz w:val="17"/>
                <w:szCs w:val="17"/>
              </w:rPr>
              <w:t>Poder Ejecutivo</w:t>
            </w:r>
          </w:p>
        </w:tc>
        <w:tc>
          <w:tcPr>
            <w:tcW w:w="2180" w:type="dxa"/>
            <w:tcBorders>
              <w:top w:val="single" w:sz="4" w:space="0" w:color="auto"/>
              <w:left w:val="nil"/>
              <w:bottom w:val="single" w:sz="4" w:space="0" w:color="auto"/>
              <w:right w:val="single" w:sz="4" w:space="0" w:color="auto"/>
            </w:tcBorders>
            <w:shd w:val="clear" w:color="auto" w:fill="auto"/>
          </w:tcPr>
          <w:p w:rsidR="00B37F0C" w:rsidRPr="00B37F0C" w:rsidRDefault="00B37F0C" w:rsidP="00B37F0C">
            <w:pPr>
              <w:jc w:val="right"/>
              <w:rPr>
                <w:rFonts w:ascii="Arial" w:hAnsi="Arial" w:cs="Arial"/>
                <w:sz w:val="17"/>
                <w:szCs w:val="17"/>
              </w:rPr>
            </w:pPr>
            <w:r w:rsidRPr="00B37F0C">
              <w:rPr>
                <w:rFonts w:ascii="Arial" w:hAnsi="Arial" w:cs="Arial"/>
                <w:sz w:val="17"/>
                <w:szCs w:val="17"/>
              </w:rPr>
              <w:t xml:space="preserve">1,145,134,062 </w:t>
            </w:r>
          </w:p>
        </w:tc>
      </w:tr>
      <w:tr w:rsidR="00B37F0C" w:rsidRPr="002D70DA" w:rsidTr="00B37F0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37F0C" w:rsidRPr="00C34218" w:rsidRDefault="00B37F0C" w:rsidP="00B37F0C">
            <w:pPr>
              <w:rPr>
                <w:rFonts w:ascii="Arial" w:hAnsi="Arial" w:cs="Arial"/>
                <w:b/>
                <w:sz w:val="17"/>
                <w:szCs w:val="17"/>
              </w:rPr>
            </w:pPr>
            <w:r w:rsidRPr="00B37F0C">
              <w:rPr>
                <w:rFonts w:ascii="Arial" w:hAnsi="Arial" w:cs="Arial"/>
                <w:b/>
                <w:sz w:val="17"/>
                <w:szCs w:val="17"/>
              </w:rPr>
              <w:t>Poder Judicial</w:t>
            </w:r>
          </w:p>
        </w:tc>
        <w:tc>
          <w:tcPr>
            <w:tcW w:w="2180" w:type="dxa"/>
            <w:tcBorders>
              <w:top w:val="single" w:sz="4" w:space="0" w:color="auto"/>
              <w:left w:val="nil"/>
              <w:bottom w:val="single" w:sz="4" w:space="0" w:color="auto"/>
              <w:right w:val="single" w:sz="4" w:space="0" w:color="auto"/>
            </w:tcBorders>
            <w:shd w:val="clear" w:color="auto" w:fill="auto"/>
          </w:tcPr>
          <w:p w:rsidR="00B37F0C" w:rsidRPr="00B37F0C" w:rsidRDefault="00B37F0C" w:rsidP="00B37F0C">
            <w:pPr>
              <w:jc w:val="right"/>
              <w:rPr>
                <w:rFonts w:ascii="Arial" w:hAnsi="Arial" w:cs="Arial"/>
                <w:sz w:val="17"/>
                <w:szCs w:val="17"/>
              </w:rPr>
            </w:pPr>
            <w:r w:rsidRPr="00B37F0C">
              <w:rPr>
                <w:rFonts w:ascii="Arial" w:hAnsi="Arial" w:cs="Arial"/>
                <w:sz w:val="17"/>
                <w:szCs w:val="17"/>
              </w:rPr>
              <w:t xml:space="preserve">41,143,375 </w:t>
            </w:r>
          </w:p>
        </w:tc>
      </w:tr>
      <w:tr w:rsidR="00B37F0C" w:rsidRPr="002D70DA" w:rsidTr="00B37F0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37F0C" w:rsidRPr="00C34218" w:rsidRDefault="00B37F0C" w:rsidP="00B37F0C">
            <w:pPr>
              <w:rPr>
                <w:rFonts w:ascii="Arial" w:hAnsi="Arial" w:cs="Arial"/>
                <w:b/>
                <w:sz w:val="17"/>
                <w:szCs w:val="17"/>
              </w:rPr>
            </w:pPr>
            <w:r w:rsidRPr="00C34218">
              <w:rPr>
                <w:rFonts w:ascii="Arial" w:hAnsi="Arial" w:cs="Arial"/>
                <w:b/>
                <w:sz w:val="17"/>
                <w:szCs w:val="17"/>
              </w:rPr>
              <w:t>Poder Legislativo</w:t>
            </w:r>
          </w:p>
        </w:tc>
        <w:tc>
          <w:tcPr>
            <w:tcW w:w="2180" w:type="dxa"/>
            <w:tcBorders>
              <w:top w:val="single" w:sz="4" w:space="0" w:color="auto"/>
              <w:left w:val="nil"/>
              <w:bottom w:val="single" w:sz="4" w:space="0" w:color="auto"/>
              <w:right w:val="single" w:sz="4" w:space="0" w:color="auto"/>
            </w:tcBorders>
            <w:shd w:val="clear" w:color="auto" w:fill="auto"/>
          </w:tcPr>
          <w:p w:rsidR="00B37F0C" w:rsidRPr="00B37F0C" w:rsidRDefault="00B37F0C" w:rsidP="00B37F0C">
            <w:pPr>
              <w:jc w:val="right"/>
              <w:rPr>
                <w:rFonts w:ascii="Arial" w:hAnsi="Arial" w:cs="Arial"/>
                <w:sz w:val="17"/>
                <w:szCs w:val="17"/>
              </w:rPr>
            </w:pPr>
            <w:r w:rsidRPr="00B37F0C">
              <w:rPr>
                <w:rFonts w:ascii="Arial" w:hAnsi="Arial" w:cs="Arial"/>
                <w:sz w:val="17"/>
                <w:szCs w:val="17"/>
              </w:rPr>
              <w:t xml:space="preserve">51,968,330 </w:t>
            </w:r>
          </w:p>
        </w:tc>
      </w:tr>
      <w:tr w:rsidR="00B37F0C" w:rsidRPr="002D70DA" w:rsidTr="00B37F0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37F0C" w:rsidRPr="00C34218" w:rsidRDefault="00B37F0C" w:rsidP="00B37F0C">
            <w:pPr>
              <w:rPr>
                <w:rFonts w:ascii="Arial" w:hAnsi="Arial" w:cs="Arial"/>
                <w:b/>
                <w:sz w:val="17"/>
                <w:szCs w:val="17"/>
              </w:rPr>
            </w:pPr>
            <w:r w:rsidRPr="00C34218">
              <w:rPr>
                <w:rFonts w:ascii="Arial" w:hAnsi="Arial" w:cs="Arial"/>
                <w:b/>
                <w:sz w:val="17"/>
                <w:szCs w:val="17"/>
              </w:rPr>
              <w:t>Órganos Autónomos</w:t>
            </w:r>
          </w:p>
        </w:tc>
        <w:tc>
          <w:tcPr>
            <w:tcW w:w="2180" w:type="dxa"/>
            <w:tcBorders>
              <w:top w:val="single" w:sz="4" w:space="0" w:color="auto"/>
              <w:left w:val="nil"/>
              <w:bottom w:val="single" w:sz="4" w:space="0" w:color="auto"/>
              <w:right w:val="single" w:sz="4" w:space="0" w:color="auto"/>
            </w:tcBorders>
            <w:shd w:val="clear" w:color="auto" w:fill="auto"/>
          </w:tcPr>
          <w:p w:rsidR="00B37F0C" w:rsidRPr="00B37F0C" w:rsidRDefault="00B37F0C" w:rsidP="00B37F0C">
            <w:pPr>
              <w:jc w:val="right"/>
              <w:rPr>
                <w:rFonts w:ascii="Arial" w:hAnsi="Arial" w:cs="Arial"/>
                <w:sz w:val="17"/>
                <w:szCs w:val="17"/>
              </w:rPr>
            </w:pPr>
            <w:r w:rsidRPr="00B37F0C">
              <w:rPr>
                <w:rFonts w:ascii="Arial" w:hAnsi="Arial" w:cs="Arial"/>
                <w:sz w:val="17"/>
                <w:szCs w:val="17"/>
              </w:rPr>
              <w:t xml:space="preserve">230,163,737 </w:t>
            </w:r>
          </w:p>
        </w:tc>
      </w:tr>
      <w:tr w:rsidR="00B37F0C" w:rsidRPr="002D70DA" w:rsidTr="00B37F0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37F0C" w:rsidRPr="00C34218" w:rsidRDefault="00B37F0C" w:rsidP="00B37F0C">
            <w:pPr>
              <w:ind w:left="497"/>
              <w:rPr>
                <w:rFonts w:ascii="Arial" w:hAnsi="Arial" w:cs="Arial"/>
                <w:sz w:val="17"/>
                <w:szCs w:val="17"/>
              </w:rPr>
            </w:pPr>
            <w:r w:rsidRPr="00C34218">
              <w:rPr>
                <w:rFonts w:ascii="Arial" w:hAnsi="Arial" w:cs="Arial"/>
                <w:sz w:val="17"/>
                <w:szCs w:val="17"/>
              </w:rPr>
              <w:t>Comisión de Transparencia y Acceso a la</w:t>
            </w:r>
          </w:p>
          <w:p w:rsidR="00B37F0C" w:rsidRPr="00560A6D" w:rsidRDefault="00B37F0C" w:rsidP="00B37F0C">
            <w:pPr>
              <w:ind w:left="497"/>
              <w:rPr>
                <w:rFonts w:ascii="Arial" w:hAnsi="Arial" w:cs="Arial"/>
                <w:sz w:val="17"/>
                <w:szCs w:val="17"/>
              </w:rPr>
            </w:pPr>
            <w:r w:rsidRPr="00C34218">
              <w:rPr>
                <w:rFonts w:ascii="Arial" w:hAnsi="Arial" w:cs="Arial"/>
                <w:sz w:val="17"/>
                <w:szCs w:val="17"/>
              </w:rPr>
              <w:t>Información Pública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B37F0C" w:rsidRPr="00B37F0C" w:rsidRDefault="00B37F0C" w:rsidP="00B37F0C">
            <w:pPr>
              <w:jc w:val="right"/>
              <w:rPr>
                <w:rFonts w:ascii="Arial" w:hAnsi="Arial" w:cs="Arial"/>
                <w:sz w:val="17"/>
                <w:szCs w:val="17"/>
              </w:rPr>
            </w:pPr>
            <w:r w:rsidRPr="00B37F0C">
              <w:rPr>
                <w:rFonts w:ascii="Arial" w:hAnsi="Arial" w:cs="Arial"/>
                <w:sz w:val="17"/>
                <w:szCs w:val="17"/>
              </w:rPr>
              <w:t xml:space="preserve">1,512,903 </w:t>
            </w:r>
          </w:p>
        </w:tc>
      </w:tr>
      <w:tr w:rsidR="00B37F0C" w:rsidRPr="002D70DA" w:rsidTr="00B37F0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37F0C" w:rsidRPr="00560A6D" w:rsidRDefault="00B37F0C" w:rsidP="00B37F0C">
            <w:pPr>
              <w:ind w:left="497"/>
              <w:rPr>
                <w:rFonts w:ascii="Arial" w:hAnsi="Arial" w:cs="Arial"/>
                <w:sz w:val="17"/>
                <w:szCs w:val="17"/>
              </w:rPr>
            </w:pPr>
            <w:r w:rsidRPr="00C34218">
              <w:rPr>
                <w:rFonts w:ascii="Arial" w:hAnsi="Arial" w:cs="Arial"/>
                <w:sz w:val="17"/>
                <w:szCs w:val="17"/>
              </w:rPr>
              <w:t>Defensoría de los Derechos Humanos de Querétaro</w:t>
            </w:r>
          </w:p>
        </w:tc>
        <w:tc>
          <w:tcPr>
            <w:tcW w:w="2180" w:type="dxa"/>
            <w:tcBorders>
              <w:top w:val="single" w:sz="4" w:space="0" w:color="auto"/>
              <w:left w:val="nil"/>
              <w:bottom w:val="single" w:sz="4" w:space="0" w:color="auto"/>
              <w:right w:val="single" w:sz="4" w:space="0" w:color="auto"/>
            </w:tcBorders>
            <w:shd w:val="clear" w:color="auto" w:fill="auto"/>
          </w:tcPr>
          <w:p w:rsidR="00B37F0C" w:rsidRPr="00B37F0C" w:rsidRDefault="00B37F0C" w:rsidP="00B37F0C">
            <w:pPr>
              <w:jc w:val="right"/>
              <w:rPr>
                <w:rFonts w:ascii="Arial" w:hAnsi="Arial" w:cs="Arial"/>
                <w:sz w:val="17"/>
                <w:szCs w:val="17"/>
              </w:rPr>
            </w:pPr>
            <w:r w:rsidRPr="00B37F0C">
              <w:rPr>
                <w:rFonts w:ascii="Arial" w:hAnsi="Arial" w:cs="Arial"/>
                <w:sz w:val="17"/>
                <w:szCs w:val="17"/>
              </w:rPr>
              <w:t xml:space="preserve">3,935,829 </w:t>
            </w:r>
          </w:p>
        </w:tc>
      </w:tr>
      <w:tr w:rsidR="00B37F0C" w:rsidRPr="002D70DA" w:rsidTr="00B37F0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37F0C" w:rsidRPr="00C34218" w:rsidRDefault="00B37F0C" w:rsidP="00B37F0C">
            <w:pPr>
              <w:ind w:left="497"/>
              <w:rPr>
                <w:rFonts w:ascii="Arial" w:hAnsi="Arial" w:cs="Arial"/>
                <w:sz w:val="17"/>
                <w:szCs w:val="17"/>
              </w:rPr>
            </w:pPr>
            <w:r w:rsidRPr="00C34218">
              <w:rPr>
                <w:rFonts w:ascii="Arial" w:hAnsi="Arial" w:cs="Arial"/>
                <w:sz w:val="17"/>
                <w:szCs w:val="17"/>
              </w:rPr>
              <w:t>Entidad Superior de Fiscalización del Estado de</w:t>
            </w:r>
          </w:p>
          <w:p w:rsidR="00B37F0C" w:rsidRPr="00C34218" w:rsidRDefault="00B37F0C" w:rsidP="00B37F0C">
            <w:pPr>
              <w:ind w:left="497"/>
              <w:rPr>
                <w:rFonts w:ascii="Arial" w:hAnsi="Arial" w:cs="Arial"/>
                <w:sz w:val="17"/>
                <w:szCs w:val="17"/>
              </w:rPr>
            </w:pPr>
            <w:r w:rsidRPr="00C34218">
              <w:rPr>
                <w:rFonts w:ascii="Arial" w:hAnsi="Arial" w:cs="Arial"/>
                <w:sz w:val="17"/>
                <w:szCs w:val="17"/>
              </w:rPr>
              <w:t>Querétaro</w:t>
            </w:r>
          </w:p>
        </w:tc>
        <w:tc>
          <w:tcPr>
            <w:tcW w:w="2180" w:type="dxa"/>
            <w:tcBorders>
              <w:top w:val="single" w:sz="4" w:space="0" w:color="auto"/>
              <w:left w:val="nil"/>
              <w:bottom w:val="single" w:sz="4" w:space="0" w:color="auto"/>
              <w:right w:val="single" w:sz="4" w:space="0" w:color="auto"/>
            </w:tcBorders>
            <w:shd w:val="clear" w:color="auto" w:fill="auto"/>
          </w:tcPr>
          <w:p w:rsidR="00B37F0C" w:rsidRPr="00B37F0C" w:rsidRDefault="00B37F0C" w:rsidP="00B37F0C">
            <w:pPr>
              <w:jc w:val="right"/>
              <w:rPr>
                <w:rFonts w:ascii="Arial" w:hAnsi="Arial" w:cs="Arial"/>
                <w:sz w:val="17"/>
                <w:szCs w:val="17"/>
              </w:rPr>
            </w:pPr>
            <w:r w:rsidRPr="00B37F0C">
              <w:rPr>
                <w:rFonts w:ascii="Arial" w:hAnsi="Arial" w:cs="Arial"/>
                <w:sz w:val="17"/>
                <w:szCs w:val="17"/>
              </w:rPr>
              <w:t xml:space="preserve">6,965,576 </w:t>
            </w:r>
          </w:p>
        </w:tc>
      </w:tr>
      <w:tr w:rsidR="00B37F0C" w:rsidRPr="002D70DA" w:rsidTr="00B37F0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37F0C" w:rsidRPr="00C34218" w:rsidRDefault="00B37F0C" w:rsidP="00B37F0C">
            <w:pPr>
              <w:ind w:left="497"/>
              <w:rPr>
                <w:rFonts w:ascii="Arial" w:hAnsi="Arial" w:cs="Arial"/>
                <w:sz w:val="17"/>
                <w:szCs w:val="17"/>
              </w:rPr>
            </w:pPr>
            <w:r w:rsidRPr="00C34218">
              <w:rPr>
                <w:rFonts w:ascii="Arial" w:hAnsi="Arial" w:cs="Arial"/>
                <w:sz w:val="17"/>
                <w:szCs w:val="17"/>
              </w:rPr>
              <w:t>Fiscalía General del Estado</w:t>
            </w:r>
          </w:p>
        </w:tc>
        <w:tc>
          <w:tcPr>
            <w:tcW w:w="2180" w:type="dxa"/>
            <w:tcBorders>
              <w:top w:val="single" w:sz="4" w:space="0" w:color="auto"/>
              <w:left w:val="nil"/>
              <w:bottom w:val="single" w:sz="4" w:space="0" w:color="auto"/>
              <w:right w:val="single" w:sz="4" w:space="0" w:color="auto"/>
            </w:tcBorders>
            <w:shd w:val="clear" w:color="auto" w:fill="auto"/>
          </w:tcPr>
          <w:p w:rsidR="00B37F0C" w:rsidRPr="00B37F0C" w:rsidRDefault="00B37F0C" w:rsidP="00B37F0C">
            <w:pPr>
              <w:jc w:val="right"/>
              <w:rPr>
                <w:rFonts w:ascii="Arial" w:hAnsi="Arial" w:cs="Arial"/>
                <w:sz w:val="17"/>
                <w:szCs w:val="17"/>
              </w:rPr>
            </w:pPr>
            <w:r w:rsidRPr="00B37F0C">
              <w:rPr>
                <w:rFonts w:ascii="Arial" w:hAnsi="Arial" w:cs="Arial"/>
                <w:sz w:val="17"/>
                <w:szCs w:val="17"/>
              </w:rPr>
              <w:t xml:space="preserve">208,879,273 </w:t>
            </w:r>
          </w:p>
        </w:tc>
      </w:tr>
      <w:tr w:rsidR="00B37F0C" w:rsidRPr="002D70DA" w:rsidTr="00B37F0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37F0C" w:rsidRPr="00560A6D" w:rsidRDefault="00B37F0C" w:rsidP="00B37F0C">
            <w:pPr>
              <w:ind w:left="497"/>
              <w:rPr>
                <w:rFonts w:ascii="Arial" w:hAnsi="Arial" w:cs="Arial"/>
                <w:sz w:val="17"/>
                <w:szCs w:val="17"/>
              </w:rPr>
            </w:pPr>
            <w:r w:rsidRPr="00C34218">
              <w:rPr>
                <w:rFonts w:ascii="Arial" w:hAnsi="Arial" w:cs="Arial"/>
                <w:sz w:val="17"/>
                <w:szCs w:val="17"/>
              </w:rPr>
              <w:t>Instituto Electoral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B37F0C" w:rsidRPr="00B37F0C" w:rsidRDefault="00B37F0C" w:rsidP="00B37F0C">
            <w:pPr>
              <w:jc w:val="right"/>
              <w:rPr>
                <w:rFonts w:ascii="Arial" w:hAnsi="Arial" w:cs="Arial"/>
                <w:sz w:val="17"/>
                <w:szCs w:val="17"/>
              </w:rPr>
            </w:pPr>
            <w:r w:rsidRPr="00B37F0C">
              <w:rPr>
                <w:rFonts w:ascii="Arial" w:hAnsi="Arial" w:cs="Arial"/>
                <w:sz w:val="17"/>
                <w:szCs w:val="17"/>
              </w:rPr>
              <w:t xml:space="preserve">6,390,336 </w:t>
            </w:r>
          </w:p>
        </w:tc>
      </w:tr>
      <w:tr w:rsidR="00B37F0C" w:rsidRPr="002D70DA" w:rsidTr="00B37F0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37F0C" w:rsidRPr="00C34218" w:rsidRDefault="00B37F0C" w:rsidP="00B37F0C">
            <w:pPr>
              <w:ind w:left="497"/>
              <w:rPr>
                <w:rFonts w:ascii="Arial" w:hAnsi="Arial" w:cs="Arial"/>
                <w:sz w:val="17"/>
                <w:szCs w:val="17"/>
              </w:rPr>
            </w:pPr>
            <w:r w:rsidRPr="00C34218">
              <w:rPr>
                <w:rFonts w:ascii="Arial" w:hAnsi="Arial" w:cs="Arial"/>
                <w:sz w:val="17"/>
                <w:szCs w:val="17"/>
              </w:rPr>
              <w:t>Tribunal de Conciliación y Arbitraje</w:t>
            </w:r>
          </w:p>
        </w:tc>
        <w:tc>
          <w:tcPr>
            <w:tcW w:w="2180" w:type="dxa"/>
            <w:tcBorders>
              <w:top w:val="single" w:sz="4" w:space="0" w:color="auto"/>
              <w:left w:val="nil"/>
              <w:bottom w:val="single" w:sz="4" w:space="0" w:color="auto"/>
              <w:right w:val="single" w:sz="4" w:space="0" w:color="auto"/>
            </w:tcBorders>
            <w:shd w:val="clear" w:color="auto" w:fill="auto"/>
          </w:tcPr>
          <w:p w:rsidR="00B37F0C" w:rsidRPr="00B37F0C" w:rsidRDefault="00B37F0C" w:rsidP="00B37F0C">
            <w:pPr>
              <w:jc w:val="right"/>
              <w:rPr>
                <w:rFonts w:ascii="Arial" w:hAnsi="Arial" w:cs="Arial"/>
                <w:sz w:val="17"/>
                <w:szCs w:val="17"/>
              </w:rPr>
            </w:pPr>
            <w:r w:rsidRPr="00B37F0C">
              <w:rPr>
                <w:rFonts w:ascii="Arial" w:hAnsi="Arial" w:cs="Arial"/>
                <w:sz w:val="17"/>
                <w:szCs w:val="17"/>
              </w:rPr>
              <w:t xml:space="preserve">352,756 </w:t>
            </w:r>
          </w:p>
        </w:tc>
      </w:tr>
      <w:tr w:rsidR="00B37F0C" w:rsidRPr="002D70DA" w:rsidTr="00B37F0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37F0C" w:rsidRPr="00C34218" w:rsidRDefault="00B37F0C" w:rsidP="00B37F0C">
            <w:pPr>
              <w:ind w:left="497"/>
              <w:rPr>
                <w:rFonts w:ascii="Arial" w:hAnsi="Arial" w:cs="Arial"/>
                <w:sz w:val="17"/>
                <w:szCs w:val="17"/>
              </w:rPr>
            </w:pPr>
            <w:r w:rsidRPr="00C34218">
              <w:rPr>
                <w:rFonts w:ascii="Arial" w:hAnsi="Arial" w:cs="Arial"/>
                <w:sz w:val="17"/>
                <w:szCs w:val="17"/>
              </w:rPr>
              <w:t>Tribunal de Justicia Administrativa del Estado de</w:t>
            </w:r>
          </w:p>
          <w:p w:rsidR="00B37F0C" w:rsidRPr="00560A6D" w:rsidRDefault="00B37F0C" w:rsidP="00B37F0C">
            <w:pPr>
              <w:ind w:left="497"/>
              <w:rPr>
                <w:rFonts w:ascii="Arial" w:hAnsi="Arial" w:cs="Arial"/>
                <w:sz w:val="17"/>
                <w:szCs w:val="17"/>
              </w:rPr>
            </w:pPr>
            <w:r w:rsidRPr="00C34218">
              <w:rPr>
                <w:rFonts w:ascii="Arial" w:hAnsi="Arial" w:cs="Arial"/>
                <w:sz w:val="17"/>
                <w:szCs w:val="17"/>
              </w:rPr>
              <w:t>Querétaro</w:t>
            </w:r>
          </w:p>
        </w:tc>
        <w:tc>
          <w:tcPr>
            <w:tcW w:w="2180" w:type="dxa"/>
            <w:tcBorders>
              <w:top w:val="single" w:sz="4" w:space="0" w:color="auto"/>
              <w:left w:val="nil"/>
              <w:bottom w:val="single" w:sz="4" w:space="0" w:color="auto"/>
              <w:right w:val="single" w:sz="4" w:space="0" w:color="auto"/>
            </w:tcBorders>
            <w:shd w:val="clear" w:color="auto" w:fill="auto"/>
          </w:tcPr>
          <w:p w:rsidR="00B37F0C" w:rsidRPr="00B37F0C" w:rsidRDefault="00B37F0C" w:rsidP="00B37F0C">
            <w:pPr>
              <w:jc w:val="right"/>
              <w:rPr>
                <w:rFonts w:ascii="Arial" w:hAnsi="Arial" w:cs="Arial"/>
                <w:sz w:val="17"/>
                <w:szCs w:val="17"/>
              </w:rPr>
            </w:pPr>
            <w:r w:rsidRPr="00B37F0C">
              <w:rPr>
                <w:rFonts w:ascii="Arial" w:hAnsi="Arial" w:cs="Arial"/>
                <w:sz w:val="17"/>
                <w:szCs w:val="17"/>
              </w:rPr>
              <w:t xml:space="preserve">510,910 </w:t>
            </w:r>
          </w:p>
        </w:tc>
      </w:tr>
      <w:tr w:rsidR="00B37F0C" w:rsidRPr="002D70DA" w:rsidTr="00B37F0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37F0C" w:rsidRPr="00560A6D" w:rsidRDefault="00B37F0C" w:rsidP="00B37F0C">
            <w:pPr>
              <w:ind w:left="497"/>
              <w:rPr>
                <w:rFonts w:ascii="Arial" w:hAnsi="Arial" w:cs="Arial"/>
                <w:sz w:val="17"/>
                <w:szCs w:val="17"/>
              </w:rPr>
            </w:pPr>
            <w:r w:rsidRPr="00C34218">
              <w:rPr>
                <w:rFonts w:ascii="Arial" w:hAnsi="Arial" w:cs="Arial"/>
                <w:sz w:val="17"/>
                <w:szCs w:val="17"/>
              </w:rPr>
              <w:t>Tribunal Electoral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B37F0C" w:rsidRPr="00B37F0C" w:rsidRDefault="00B37F0C" w:rsidP="00B37F0C">
            <w:pPr>
              <w:jc w:val="right"/>
              <w:rPr>
                <w:rFonts w:ascii="Arial" w:hAnsi="Arial" w:cs="Arial"/>
                <w:sz w:val="17"/>
                <w:szCs w:val="17"/>
              </w:rPr>
            </w:pPr>
            <w:r w:rsidRPr="00B37F0C">
              <w:rPr>
                <w:rFonts w:ascii="Arial" w:hAnsi="Arial" w:cs="Arial"/>
                <w:sz w:val="17"/>
                <w:szCs w:val="17"/>
              </w:rPr>
              <w:t xml:space="preserve">1,616,155 </w:t>
            </w:r>
          </w:p>
        </w:tc>
      </w:tr>
      <w:tr w:rsidR="00B37F0C" w:rsidRPr="002D70DA" w:rsidTr="00B37F0C">
        <w:trPr>
          <w:trHeight w:val="240"/>
          <w:jc w:val="center"/>
        </w:trPr>
        <w:tc>
          <w:tcPr>
            <w:tcW w:w="4900" w:type="dxa"/>
            <w:tcBorders>
              <w:top w:val="nil"/>
              <w:left w:val="nil"/>
              <w:bottom w:val="nil"/>
              <w:right w:val="single" w:sz="4" w:space="0" w:color="auto"/>
            </w:tcBorders>
            <w:shd w:val="clear" w:color="000000" w:fill="FFFFFF"/>
            <w:vAlign w:val="center"/>
            <w:hideMark/>
          </w:tcPr>
          <w:p w:rsidR="00B37F0C" w:rsidRPr="002D70DA" w:rsidRDefault="00B37F0C" w:rsidP="00B37F0C">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single" w:sz="4" w:space="0" w:color="auto"/>
            </w:tcBorders>
            <w:shd w:val="clear" w:color="000000" w:fill="FFFFFF"/>
          </w:tcPr>
          <w:p w:rsidR="00B37F0C" w:rsidRPr="00B37F0C" w:rsidRDefault="00B37F0C" w:rsidP="00B37F0C">
            <w:pPr>
              <w:jc w:val="right"/>
              <w:rPr>
                <w:rFonts w:ascii="Arial" w:hAnsi="Arial" w:cs="Arial"/>
                <w:b/>
                <w:sz w:val="17"/>
                <w:szCs w:val="17"/>
              </w:rPr>
            </w:pPr>
            <w:r w:rsidRPr="00B37F0C">
              <w:rPr>
                <w:rFonts w:ascii="Arial" w:hAnsi="Arial" w:cs="Arial"/>
                <w:b/>
                <w:sz w:val="17"/>
                <w:szCs w:val="17"/>
              </w:rPr>
              <w:t>1,468,409,504</w:t>
            </w:r>
          </w:p>
        </w:tc>
      </w:tr>
    </w:tbl>
    <w:p w:rsidR="00A16CA6" w:rsidRDefault="00A16CA6" w:rsidP="009B6079">
      <w:pPr>
        <w:spacing w:before="80" w:line="250" w:lineRule="exact"/>
        <w:ind w:left="709"/>
        <w:jc w:val="both"/>
        <w:rPr>
          <w:rFonts w:ascii="Arial" w:eastAsia="Calibri" w:hAnsi="Arial" w:cs="Arial"/>
          <w:spacing w:val="-1"/>
          <w:sz w:val="17"/>
          <w:szCs w:val="17"/>
        </w:rPr>
      </w:pPr>
    </w:p>
    <w:p w:rsidR="00FA7272" w:rsidRDefault="00FA7272" w:rsidP="009B6079">
      <w:pPr>
        <w:spacing w:before="80" w:line="250" w:lineRule="exact"/>
        <w:ind w:left="709"/>
        <w:jc w:val="both"/>
        <w:rPr>
          <w:rFonts w:ascii="Arial" w:eastAsia="Calibri" w:hAnsi="Arial" w:cs="Arial"/>
          <w:spacing w:val="-1"/>
          <w:sz w:val="17"/>
          <w:szCs w:val="17"/>
        </w:rPr>
      </w:pPr>
    </w:p>
    <w:p w:rsidR="00403D2A" w:rsidRDefault="00403D2A">
      <w:pPr>
        <w:rPr>
          <w:rFonts w:ascii="Arial" w:eastAsia="Calibri" w:hAnsi="Arial" w:cs="Arial"/>
          <w:b/>
          <w:spacing w:val="-1"/>
          <w:sz w:val="17"/>
          <w:szCs w:val="17"/>
        </w:rPr>
      </w:pPr>
    </w:p>
    <w:p w:rsidR="00FA7272" w:rsidRPr="002D70DA" w:rsidRDefault="00FA7272" w:rsidP="00FA7272">
      <w:pPr>
        <w:pStyle w:val="Prrafodelista"/>
        <w:numPr>
          <w:ilvl w:val="0"/>
          <w:numId w:val="8"/>
        </w:numPr>
        <w:spacing w:before="80" w:line="250" w:lineRule="exact"/>
        <w:contextualSpacing w:val="0"/>
        <w:jc w:val="both"/>
        <w:rPr>
          <w:rFonts w:ascii="Arial" w:eastAsia="Calibri" w:hAnsi="Arial" w:cs="Arial"/>
          <w:b/>
          <w:spacing w:val="-1"/>
          <w:sz w:val="17"/>
          <w:szCs w:val="17"/>
        </w:rPr>
      </w:pPr>
      <w:r>
        <w:rPr>
          <w:rFonts w:ascii="Arial" w:eastAsia="Calibri" w:hAnsi="Arial" w:cs="Arial"/>
          <w:b/>
          <w:spacing w:val="-1"/>
          <w:sz w:val="17"/>
          <w:szCs w:val="17"/>
        </w:rPr>
        <w:t>Activos Diferidos</w:t>
      </w:r>
    </w:p>
    <w:p w:rsidR="00FA7272" w:rsidRDefault="00FA7272" w:rsidP="00FA7272">
      <w:pPr>
        <w:spacing w:before="80" w:line="250" w:lineRule="exact"/>
        <w:ind w:left="709"/>
        <w:jc w:val="both"/>
        <w:rPr>
          <w:rFonts w:ascii="Arial" w:eastAsia="Calibri" w:hAnsi="Arial" w:cs="Arial"/>
          <w:spacing w:val="-1"/>
          <w:sz w:val="17"/>
          <w:szCs w:val="17"/>
        </w:rPr>
      </w:pPr>
      <w:r w:rsidRPr="007F7800">
        <w:rPr>
          <w:rFonts w:ascii="Arial" w:eastAsia="Calibri" w:hAnsi="Arial" w:cs="Arial"/>
          <w:spacing w:val="-1"/>
          <w:sz w:val="17"/>
          <w:szCs w:val="17"/>
        </w:rPr>
        <w:t xml:space="preserve">Se informa </w:t>
      </w:r>
      <w:r>
        <w:rPr>
          <w:rFonts w:ascii="Arial" w:eastAsia="Calibri" w:hAnsi="Arial" w:cs="Arial"/>
          <w:spacing w:val="-1"/>
          <w:sz w:val="17"/>
          <w:szCs w:val="17"/>
        </w:rPr>
        <w:t xml:space="preserve">el saldo de la cuenta </w:t>
      </w:r>
      <w:r w:rsidRPr="007F7800">
        <w:rPr>
          <w:rFonts w:ascii="Arial" w:eastAsia="Calibri" w:hAnsi="Arial" w:cs="Arial"/>
          <w:spacing w:val="-1"/>
          <w:sz w:val="17"/>
          <w:szCs w:val="17"/>
        </w:rPr>
        <w:t xml:space="preserve">de </w:t>
      </w:r>
      <w:r>
        <w:rPr>
          <w:rFonts w:ascii="Arial" w:eastAsia="Calibri" w:hAnsi="Arial" w:cs="Arial"/>
          <w:spacing w:val="-1"/>
          <w:sz w:val="17"/>
          <w:szCs w:val="17"/>
        </w:rPr>
        <w:t>Activos Diferidos</w:t>
      </w:r>
      <w:r w:rsidRPr="007F7800">
        <w:rPr>
          <w:rFonts w:ascii="Arial" w:eastAsia="Calibri" w:hAnsi="Arial" w:cs="Arial"/>
          <w:spacing w:val="-1"/>
          <w:sz w:val="17"/>
          <w:szCs w:val="17"/>
        </w:rPr>
        <w:t xml:space="preserve">, al 31 de diciembre del </w:t>
      </w:r>
      <w:r w:rsidR="00FD7D84">
        <w:rPr>
          <w:rFonts w:ascii="Arial" w:eastAsia="Calibri" w:hAnsi="Arial" w:cs="Arial"/>
          <w:spacing w:val="-1"/>
          <w:sz w:val="17"/>
          <w:szCs w:val="17"/>
        </w:rPr>
        <w:t>2020</w:t>
      </w:r>
      <w:r>
        <w:rPr>
          <w:rFonts w:ascii="Arial" w:eastAsia="Calibri" w:hAnsi="Arial" w:cs="Arial"/>
          <w:spacing w:val="-1"/>
          <w:sz w:val="17"/>
          <w:szCs w:val="17"/>
        </w:rPr>
        <w:t>:</w:t>
      </w:r>
    </w:p>
    <w:p w:rsidR="00FA7272" w:rsidRPr="00785016" w:rsidRDefault="00FA7272" w:rsidP="00FA7272">
      <w:pPr>
        <w:autoSpaceDE w:val="0"/>
        <w:autoSpaceDN w:val="0"/>
        <w:adjustRightInd w:val="0"/>
        <w:spacing w:before="240" w:after="120"/>
        <w:ind w:left="360"/>
        <w:jc w:val="center"/>
        <w:rPr>
          <w:rFonts w:ascii="Arial" w:eastAsia="Calibri" w:hAnsi="Arial" w:cs="Arial"/>
          <w:b/>
          <w:spacing w:val="-1"/>
          <w:sz w:val="17"/>
          <w:szCs w:val="17"/>
        </w:rPr>
      </w:pPr>
      <w:r w:rsidRPr="00785016">
        <w:rPr>
          <w:rFonts w:ascii="Arial" w:eastAsia="Calibri" w:hAnsi="Arial" w:cs="Arial"/>
          <w:b/>
          <w:spacing w:val="-1"/>
          <w:sz w:val="17"/>
          <w:szCs w:val="17"/>
        </w:rPr>
        <w:t>(Pesos)</w:t>
      </w:r>
    </w:p>
    <w:tbl>
      <w:tblPr>
        <w:tblW w:w="9270" w:type="dxa"/>
        <w:jc w:val="center"/>
        <w:tblCellMar>
          <w:left w:w="70" w:type="dxa"/>
          <w:right w:w="70" w:type="dxa"/>
        </w:tblCellMar>
        <w:tblLook w:val="04A0" w:firstRow="1" w:lastRow="0" w:firstColumn="1" w:lastColumn="0" w:noHBand="0" w:noVBand="1"/>
        <w:tblDescription w:val="monto"/>
      </w:tblPr>
      <w:tblGrid>
        <w:gridCol w:w="4901"/>
        <w:gridCol w:w="2180"/>
        <w:gridCol w:w="2179"/>
        <w:gridCol w:w="10"/>
      </w:tblGrid>
      <w:tr w:rsidR="00FA7272" w:rsidRPr="002D70DA" w:rsidTr="00E81990">
        <w:trPr>
          <w:trHeight w:val="240"/>
          <w:jc w:val="center"/>
        </w:trPr>
        <w:tc>
          <w:tcPr>
            <w:tcW w:w="49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FA7272" w:rsidRPr="002D70DA" w:rsidRDefault="00FA7272" w:rsidP="00F338A3">
            <w:pPr>
              <w:jc w:val="center"/>
              <w:rPr>
                <w:rFonts w:ascii="Arial" w:hAnsi="Arial" w:cs="Arial"/>
                <w:b/>
                <w:bCs/>
                <w:color w:val="000000"/>
                <w:sz w:val="17"/>
                <w:szCs w:val="17"/>
              </w:rPr>
            </w:pPr>
            <w:r>
              <w:rPr>
                <w:rFonts w:ascii="Arial" w:hAnsi="Arial" w:cs="Arial"/>
                <w:b/>
                <w:bCs/>
                <w:color w:val="000000"/>
                <w:sz w:val="17"/>
                <w:szCs w:val="17"/>
              </w:rPr>
              <w:t>Concepto</w:t>
            </w:r>
            <w:r w:rsidRPr="002D70DA">
              <w:rPr>
                <w:rFonts w:ascii="Arial" w:hAnsi="Arial" w:cs="Arial"/>
                <w:b/>
                <w:bCs/>
                <w:color w:val="000000"/>
                <w:sz w:val="17"/>
                <w:szCs w:val="17"/>
              </w:rPr>
              <w:t>:</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A7272"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2020</w:t>
            </w:r>
          </w:p>
        </w:tc>
        <w:tc>
          <w:tcPr>
            <w:tcW w:w="2189" w:type="dxa"/>
            <w:gridSpan w:val="2"/>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A7272"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2019</w:t>
            </w:r>
          </w:p>
        </w:tc>
      </w:tr>
      <w:tr w:rsidR="00E81990" w:rsidRPr="002D70DA" w:rsidTr="00E81990">
        <w:trPr>
          <w:trHeight w:val="240"/>
          <w:jc w:val="center"/>
        </w:trPr>
        <w:tc>
          <w:tcPr>
            <w:tcW w:w="4901" w:type="dxa"/>
            <w:tcBorders>
              <w:top w:val="single" w:sz="4" w:space="0" w:color="auto"/>
              <w:left w:val="single" w:sz="4" w:space="0" w:color="auto"/>
              <w:bottom w:val="single" w:sz="4" w:space="0" w:color="auto"/>
              <w:right w:val="single" w:sz="4" w:space="0" w:color="auto"/>
            </w:tcBorders>
            <w:shd w:val="clear" w:color="auto" w:fill="auto"/>
          </w:tcPr>
          <w:p w:rsidR="00E81990" w:rsidRPr="00FA7272" w:rsidRDefault="00E81990" w:rsidP="00E81990">
            <w:pPr>
              <w:rPr>
                <w:rFonts w:ascii="Arial" w:hAnsi="Arial" w:cs="Arial"/>
                <w:sz w:val="17"/>
                <w:szCs w:val="17"/>
              </w:rPr>
            </w:pPr>
            <w:r w:rsidRPr="00FA7272">
              <w:rPr>
                <w:rFonts w:ascii="Arial" w:hAnsi="Arial" w:cs="Arial"/>
                <w:sz w:val="17"/>
                <w:szCs w:val="17"/>
              </w:rPr>
              <w:t>Estudios, Formulación y Evaluación de Proyectos</w:t>
            </w:r>
          </w:p>
        </w:tc>
        <w:tc>
          <w:tcPr>
            <w:tcW w:w="2180" w:type="dxa"/>
            <w:tcBorders>
              <w:top w:val="single" w:sz="4" w:space="0" w:color="auto"/>
              <w:left w:val="nil"/>
              <w:bottom w:val="single" w:sz="4" w:space="0" w:color="auto"/>
              <w:right w:val="single" w:sz="4" w:space="0" w:color="auto"/>
            </w:tcBorders>
            <w:shd w:val="clear" w:color="auto" w:fill="auto"/>
          </w:tcPr>
          <w:p w:rsidR="00E81990" w:rsidRPr="00C2770F" w:rsidRDefault="00E81990" w:rsidP="00E81990">
            <w:pPr>
              <w:jc w:val="right"/>
              <w:rPr>
                <w:rFonts w:ascii="Arial" w:hAnsi="Arial" w:cs="Arial"/>
                <w:sz w:val="17"/>
                <w:szCs w:val="17"/>
              </w:rPr>
            </w:pPr>
            <w:r w:rsidRPr="00C2770F">
              <w:rPr>
                <w:rFonts w:ascii="Arial" w:hAnsi="Arial" w:cs="Arial"/>
                <w:sz w:val="17"/>
                <w:szCs w:val="17"/>
              </w:rPr>
              <w:t xml:space="preserve"> 250,671 </w:t>
            </w:r>
          </w:p>
        </w:tc>
        <w:tc>
          <w:tcPr>
            <w:tcW w:w="2189" w:type="dxa"/>
            <w:gridSpan w:val="2"/>
            <w:tcBorders>
              <w:top w:val="single" w:sz="4" w:space="0" w:color="auto"/>
              <w:left w:val="nil"/>
              <w:bottom w:val="single" w:sz="4" w:space="0" w:color="auto"/>
              <w:right w:val="single" w:sz="4" w:space="0" w:color="auto"/>
            </w:tcBorders>
            <w:shd w:val="clear" w:color="auto" w:fill="auto"/>
          </w:tcPr>
          <w:p w:rsidR="00E81990" w:rsidRPr="00E81990" w:rsidRDefault="00E81990" w:rsidP="00E81990">
            <w:pPr>
              <w:jc w:val="right"/>
              <w:rPr>
                <w:rFonts w:ascii="Arial" w:hAnsi="Arial" w:cs="Arial"/>
                <w:sz w:val="17"/>
                <w:szCs w:val="17"/>
              </w:rPr>
            </w:pPr>
            <w:r w:rsidRPr="00E81990">
              <w:rPr>
                <w:rFonts w:ascii="Arial" w:hAnsi="Arial" w:cs="Arial"/>
                <w:sz w:val="17"/>
                <w:szCs w:val="17"/>
              </w:rPr>
              <w:t xml:space="preserve"> 250,671 </w:t>
            </w:r>
          </w:p>
        </w:tc>
      </w:tr>
      <w:tr w:rsidR="00E81990" w:rsidRPr="002D70DA" w:rsidTr="00E81990">
        <w:trPr>
          <w:trHeight w:val="240"/>
          <w:jc w:val="center"/>
        </w:trPr>
        <w:tc>
          <w:tcPr>
            <w:tcW w:w="4901" w:type="dxa"/>
            <w:tcBorders>
              <w:top w:val="single" w:sz="4" w:space="0" w:color="auto"/>
              <w:left w:val="single" w:sz="4" w:space="0" w:color="auto"/>
              <w:bottom w:val="single" w:sz="4" w:space="0" w:color="auto"/>
              <w:right w:val="single" w:sz="4" w:space="0" w:color="auto"/>
            </w:tcBorders>
            <w:shd w:val="clear" w:color="auto" w:fill="auto"/>
          </w:tcPr>
          <w:p w:rsidR="00E81990" w:rsidRPr="00FA7272" w:rsidRDefault="00E81990" w:rsidP="00E81990">
            <w:pPr>
              <w:rPr>
                <w:rFonts w:ascii="Arial" w:hAnsi="Arial" w:cs="Arial"/>
                <w:sz w:val="17"/>
                <w:szCs w:val="17"/>
              </w:rPr>
            </w:pPr>
            <w:r w:rsidRPr="00FA7272">
              <w:rPr>
                <w:rFonts w:ascii="Arial" w:hAnsi="Arial" w:cs="Arial"/>
                <w:sz w:val="17"/>
                <w:szCs w:val="17"/>
              </w:rPr>
              <w:t>Anticipos a Largo Plazo</w:t>
            </w:r>
          </w:p>
        </w:tc>
        <w:tc>
          <w:tcPr>
            <w:tcW w:w="2180" w:type="dxa"/>
            <w:tcBorders>
              <w:top w:val="single" w:sz="4" w:space="0" w:color="auto"/>
              <w:left w:val="nil"/>
              <w:bottom w:val="single" w:sz="4" w:space="0" w:color="auto"/>
              <w:right w:val="single" w:sz="4" w:space="0" w:color="auto"/>
            </w:tcBorders>
            <w:shd w:val="clear" w:color="auto" w:fill="auto"/>
          </w:tcPr>
          <w:p w:rsidR="00E81990" w:rsidRPr="00C2770F" w:rsidRDefault="00E81990" w:rsidP="00E81990">
            <w:pPr>
              <w:jc w:val="right"/>
              <w:rPr>
                <w:rFonts w:ascii="Arial" w:hAnsi="Arial" w:cs="Arial"/>
                <w:sz w:val="17"/>
                <w:szCs w:val="17"/>
              </w:rPr>
            </w:pPr>
            <w:r w:rsidRPr="00C2770F">
              <w:rPr>
                <w:rFonts w:ascii="Arial" w:hAnsi="Arial" w:cs="Arial"/>
                <w:sz w:val="17"/>
                <w:szCs w:val="17"/>
              </w:rPr>
              <w:t xml:space="preserve">-9,000 </w:t>
            </w:r>
          </w:p>
        </w:tc>
        <w:tc>
          <w:tcPr>
            <w:tcW w:w="2189" w:type="dxa"/>
            <w:gridSpan w:val="2"/>
            <w:tcBorders>
              <w:top w:val="single" w:sz="4" w:space="0" w:color="auto"/>
              <w:left w:val="nil"/>
              <w:bottom w:val="single" w:sz="4" w:space="0" w:color="auto"/>
              <w:right w:val="single" w:sz="4" w:space="0" w:color="auto"/>
            </w:tcBorders>
            <w:shd w:val="clear" w:color="auto" w:fill="auto"/>
          </w:tcPr>
          <w:p w:rsidR="00E81990" w:rsidRPr="00E81990" w:rsidRDefault="00E81990" w:rsidP="00E81990">
            <w:pPr>
              <w:jc w:val="right"/>
              <w:rPr>
                <w:rFonts w:ascii="Arial" w:hAnsi="Arial" w:cs="Arial"/>
                <w:sz w:val="17"/>
                <w:szCs w:val="17"/>
              </w:rPr>
            </w:pPr>
            <w:r w:rsidRPr="00E81990">
              <w:rPr>
                <w:rFonts w:ascii="Arial" w:hAnsi="Arial" w:cs="Arial"/>
                <w:sz w:val="17"/>
                <w:szCs w:val="17"/>
              </w:rPr>
              <w:t xml:space="preserve">-9,000 </w:t>
            </w:r>
          </w:p>
        </w:tc>
      </w:tr>
      <w:tr w:rsidR="00E81990" w:rsidRPr="002D70DA" w:rsidTr="00E81990">
        <w:trPr>
          <w:trHeight w:val="240"/>
          <w:jc w:val="center"/>
        </w:trPr>
        <w:tc>
          <w:tcPr>
            <w:tcW w:w="4901" w:type="dxa"/>
            <w:tcBorders>
              <w:top w:val="single" w:sz="4" w:space="0" w:color="auto"/>
              <w:left w:val="single" w:sz="4" w:space="0" w:color="auto"/>
              <w:bottom w:val="single" w:sz="4" w:space="0" w:color="auto"/>
              <w:right w:val="single" w:sz="4" w:space="0" w:color="auto"/>
            </w:tcBorders>
            <w:shd w:val="clear" w:color="auto" w:fill="auto"/>
          </w:tcPr>
          <w:p w:rsidR="00E81990" w:rsidRPr="00FA7272" w:rsidRDefault="00E81990" w:rsidP="00E81990">
            <w:pPr>
              <w:rPr>
                <w:rFonts w:ascii="Arial" w:hAnsi="Arial" w:cs="Arial"/>
                <w:sz w:val="17"/>
                <w:szCs w:val="17"/>
              </w:rPr>
            </w:pPr>
            <w:r w:rsidRPr="00FA7272">
              <w:rPr>
                <w:rFonts w:ascii="Arial" w:hAnsi="Arial" w:cs="Arial"/>
                <w:sz w:val="17"/>
                <w:szCs w:val="17"/>
              </w:rPr>
              <w:t>Otros Activos Diferidos</w:t>
            </w:r>
          </w:p>
        </w:tc>
        <w:tc>
          <w:tcPr>
            <w:tcW w:w="2180" w:type="dxa"/>
            <w:tcBorders>
              <w:top w:val="single" w:sz="4" w:space="0" w:color="auto"/>
              <w:left w:val="nil"/>
              <w:bottom w:val="single" w:sz="4" w:space="0" w:color="auto"/>
              <w:right w:val="single" w:sz="4" w:space="0" w:color="auto"/>
            </w:tcBorders>
            <w:shd w:val="clear" w:color="auto" w:fill="auto"/>
          </w:tcPr>
          <w:p w:rsidR="00E81990" w:rsidRPr="00C2770F" w:rsidRDefault="00E81990" w:rsidP="00E81990">
            <w:pPr>
              <w:jc w:val="right"/>
              <w:rPr>
                <w:rFonts w:ascii="Arial" w:hAnsi="Arial" w:cs="Arial"/>
                <w:sz w:val="17"/>
                <w:szCs w:val="17"/>
              </w:rPr>
            </w:pPr>
            <w:r w:rsidRPr="00C2770F">
              <w:rPr>
                <w:rFonts w:ascii="Arial" w:hAnsi="Arial" w:cs="Arial"/>
                <w:sz w:val="17"/>
                <w:szCs w:val="17"/>
              </w:rPr>
              <w:t xml:space="preserve">-210,786 </w:t>
            </w:r>
          </w:p>
        </w:tc>
        <w:tc>
          <w:tcPr>
            <w:tcW w:w="2189" w:type="dxa"/>
            <w:gridSpan w:val="2"/>
            <w:tcBorders>
              <w:top w:val="single" w:sz="4" w:space="0" w:color="auto"/>
              <w:left w:val="nil"/>
              <w:bottom w:val="single" w:sz="4" w:space="0" w:color="auto"/>
              <w:right w:val="single" w:sz="4" w:space="0" w:color="auto"/>
            </w:tcBorders>
            <w:shd w:val="clear" w:color="auto" w:fill="auto"/>
          </w:tcPr>
          <w:p w:rsidR="00E81990" w:rsidRPr="00E81990" w:rsidRDefault="00E81990" w:rsidP="00E81990">
            <w:pPr>
              <w:jc w:val="right"/>
              <w:rPr>
                <w:rFonts w:ascii="Arial" w:hAnsi="Arial" w:cs="Arial"/>
                <w:sz w:val="17"/>
                <w:szCs w:val="17"/>
              </w:rPr>
            </w:pPr>
            <w:r w:rsidRPr="00E81990">
              <w:rPr>
                <w:rFonts w:ascii="Arial" w:hAnsi="Arial" w:cs="Arial"/>
                <w:sz w:val="17"/>
                <w:szCs w:val="17"/>
              </w:rPr>
              <w:t xml:space="preserve">-210,786 </w:t>
            </w:r>
          </w:p>
        </w:tc>
      </w:tr>
      <w:tr w:rsidR="00E81990" w:rsidRPr="002D70DA" w:rsidTr="00E81990">
        <w:trPr>
          <w:gridAfter w:val="1"/>
          <w:wAfter w:w="10" w:type="dxa"/>
          <w:trHeight w:val="240"/>
          <w:jc w:val="center"/>
        </w:trPr>
        <w:tc>
          <w:tcPr>
            <w:tcW w:w="4901" w:type="dxa"/>
            <w:tcBorders>
              <w:top w:val="nil"/>
              <w:left w:val="nil"/>
              <w:bottom w:val="nil"/>
              <w:right w:val="single" w:sz="4" w:space="0" w:color="auto"/>
            </w:tcBorders>
            <w:shd w:val="clear" w:color="000000" w:fill="FFFFFF"/>
            <w:vAlign w:val="center"/>
            <w:hideMark/>
          </w:tcPr>
          <w:p w:rsidR="00E81990" w:rsidRPr="002D70DA" w:rsidRDefault="00E81990" w:rsidP="00E81990">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E81990" w:rsidRPr="00C2770F" w:rsidRDefault="00E81990" w:rsidP="00E81990">
            <w:pPr>
              <w:jc w:val="right"/>
              <w:rPr>
                <w:rFonts w:ascii="Arial" w:hAnsi="Arial" w:cs="Arial"/>
                <w:b/>
                <w:sz w:val="17"/>
                <w:szCs w:val="17"/>
              </w:rPr>
            </w:pPr>
            <w:r w:rsidRPr="00C2770F">
              <w:rPr>
                <w:rFonts w:ascii="Arial" w:hAnsi="Arial" w:cs="Arial"/>
                <w:b/>
                <w:sz w:val="17"/>
                <w:szCs w:val="17"/>
              </w:rPr>
              <w:t xml:space="preserve"> 30,885 </w:t>
            </w:r>
          </w:p>
        </w:tc>
        <w:tc>
          <w:tcPr>
            <w:tcW w:w="2179" w:type="dxa"/>
            <w:tcBorders>
              <w:top w:val="nil"/>
              <w:left w:val="single" w:sz="4" w:space="0" w:color="auto"/>
              <w:bottom w:val="single" w:sz="4" w:space="0" w:color="auto"/>
              <w:right w:val="single" w:sz="4" w:space="0" w:color="auto"/>
            </w:tcBorders>
            <w:shd w:val="clear" w:color="000000" w:fill="FFFFFF"/>
          </w:tcPr>
          <w:p w:rsidR="00E81990" w:rsidRPr="00E81990" w:rsidRDefault="00E81990" w:rsidP="00E81990">
            <w:pPr>
              <w:jc w:val="right"/>
              <w:rPr>
                <w:rFonts w:ascii="Arial" w:hAnsi="Arial" w:cs="Arial"/>
                <w:b/>
                <w:sz w:val="17"/>
                <w:szCs w:val="17"/>
              </w:rPr>
            </w:pPr>
            <w:r w:rsidRPr="00E81990">
              <w:rPr>
                <w:rFonts w:ascii="Arial" w:hAnsi="Arial" w:cs="Arial"/>
                <w:b/>
                <w:sz w:val="17"/>
                <w:szCs w:val="17"/>
              </w:rPr>
              <w:t xml:space="preserve"> 30,885 </w:t>
            </w:r>
          </w:p>
        </w:tc>
      </w:tr>
    </w:tbl>
    <w:p w:rsidR="00FA7272" w:rsidRDefault="00FA7272" w:rsidP="00FA7272">
      <w:pPr>
        <w:spacing w:before="80" w:line="250" w:lineRule="exact"/>
        <w:ind w:left="709"/>
        <w:jc w:val="both"/>
        <w:rPr>
          <w:rFonts w:ascii="Arial" w:eastAsia="Calibri" w:hAnsi="Arial" w:cs="Arial"/>
          <w:spacing w:val="-1"/>
          <w:sz w:val="17"/>
          <w:szCs w:val="17"/>
        </w:rPr>
      </w:pPr>
    </w:p>
    <w:p w:rsidR="00C2770F" w:rsidRDefault="00C2770F">
      <w:pPr>
        <w:rPr>
          <w:rFonts w:ascii="Arial" w:eastAsia="Calibri" w:hAnsi="Arial" w:cs="Arial"/>
          <w:spacing w:val="-1"/>
          <w:sz w:val="17"/>
          <w:szCs w:val="17"/>
        </w:rPr>
      </w:pPr>
      <w:r>
        <w:rPr>
          <w:rFonts w:ascii="Arial" w:eastAsia="Calibri" w:hAnsi="Arial" w:cs="Arial"/>
          <w:spacing w:val="-1"/>
          <w:sz w:val="17"/>
          <w:szCs w:val="17"/>
        </w:rPr>
        <w:br w:type="page"/>
      </w:r>
    </w:p>
    <w:p w:rsidR="00FA7272" w:rsidRDefault="00FA7272" w:rsidP="003708EA">
      <w:pPr>
        <w:rPr>
          <w:rFonts w:ascii="Arial" w:eastAsia="Calibri" w:hAnsi="Arial" w:cs="Arial"/>
          <w:spacing w:val="-1"/>
          <w:sz w:val="17"/>
          <w:szCs w:val="17"/>
        </w:rPr>
      </w:pPr>
      <w:r>
        <w:rPr>
          <w:rFonts w:ascii="Arial" w:eastAsia="Calibri" w:hAnsi="Arial" w:cs="Arial"/>
          <w:spacing w:val="-1"/>
          <w:sz w:val="17"/>
          <w:szCs w:val="17"/>
        </w:rPr>
        <w:lastRenderedPageBreak/>
        <w:t>El cual está distribuido de la siguiente manera:</w:t>
      </w:r>
    </w:p>
    <w:p w:rsidR="00FA7272" w:rsidRPr="002D70DA" w:rsidRDefault="00FA7272" w:rsidP="00FA7272">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 xml:space="preserve"> (Pesos)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FA7272" w:rsidRPr="002D70DA" w:rsidTr="00E8199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FA7272" w:rsidRPr="002D70DA" w:rsidRDefault="00FA7272" w:rsidP="00F338A3">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A7272"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A7272"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2019</w:t>
            </w:r>
          </w:p>
        </w:tc>
      </w:tr>
      <w:tr w:rsidR="00E81990" w:rsidRPr="002D70DA" w:rsidTr="00E8199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81990" w:rsidRPr="00C34218" w:rsidRDefault="00E81990" w:rsidP="00E81990">
            <w:pPr>
              <w:rPr>
                <w:rFonts w:ascii="Arial" w:hAnsi="Arial" w:cs="Arial"/>
                <w:b/>
                <w:sz w:val="17"/>
                <w:szCs w:val="17"/>
              </w:rPr>
            </w:pPr>
            <w:r w:rsidRPr="00C34218">
              <w:rPr>
                <w:rFonts w:ascii="Arial" w:hAnsi="Arial" w:cs="Arial"/>
                <w:b/>
                <w:sz w:val="17"/>
                <w:szCs w:val="17"/>
              </w:rPr>
              <w:t>Órganos Autónomos</w:t>
            </w:r>
          </w:p>
        </w:tc>
        <w:tc>
          <w:tcPr>
            <w:tcW w:w="2180" w:type="dxa"/>
            <w:tcBorders>
              <w:top w:val="single" w:sz="4" w:space="0" w:color="auto"/>
              <w:left w:val="nil"/>
              <w:bottom w:val="single" w:sz="4" w:space="0" w:color="auto"/>
              <w:right w:val="single" w:sz="4" w:space="0" w:color="auto"/>
            </w:tcBorders>
            <w:shd w:val="clear" w:color="auto" w:fill="auto"/>
          </w:tcPr>
          <w:p w:rsidR="00E81990" w:rsidRPr="0085799D" w:rsidRDefault="00E81990" w:rsidP="00E81990">
            <w:pPr>
              <w:jc w:val="right"/>
              <w:rPr>
                <w:rFonts w:ascii="Arial" w:hAnsi="Arial" w:cs="Arial"/>
                <w:b/>
                <w:sz w:val="17"/>
                <w:szCs w:val="17"/>
              </w:rPr>
            </w:pPr>
            <w:r w:rsidRPr="0085799D">
              <w:rPr>
                <w:rFonts w:ascii="Arial" w:hAnsi="Arial" w:cs="Arial"/>
                <w:b/>
                <w:sz w:val="17"/>
                <w:szCs w:val="17"/>
              </w:rPr>
              <w:t xml:space="preserve">30,885 </w:t>
            </w:r>
          </w:p>
        </w:tc>
        <w:tc>
          <w:tcPr>
            <w:tcW w:w="2180" w:type="dxa"/>
            <w:tcBorders>
              <w:top w:val="single" w:sz="4" w:space="0" w:color="auto"/>
              <w:left w:val="nil"/>
              <w:bottom w:val="single" w:sz="4" w:space="0" w:color="auto"/>
              <w:right w:val="single" w:sz="4" w:space="0" w:color="auto"/>
            </w:tcBorders>
            <w:shd w:val="clear" w:color="auto" w:fill="auto"/>
          </w:tcPr>
          <w:p w:rsidR="00E81990" w:rsidRPr="00E81990" w:rsidRDefault="00E81990" w:rsidP="00E81990">
            <w:pPr>
              <w:jc w:val="right"/>
              <w:rPr>
                <w:rFonts w:ascii="Arial" w:hAnsi="Arial" w:cs="Arial"/>
                <w:b/>
                <w:sz w:val="17"/>
                <w:szCs w:val="17"/>
              </w:rPr>
            </w:pPr>
            <w:r w:rsidRPr="00E81990">
              <w:rPr>
                <w:rFonts w:ascii="Arial" w:hAnsi="Arial" w:cs="Arial"/>
                <w:b/>
                <w:sz w:val="17"/>
                <w:szCs w:val="17"/>
              </w:rPr>
              <w:t xml:space="preserve">30,885 </w:t>
            </w:r>
          </w:p>
        </w:tc>
      </w:tr>
      <w:tr w:rsidR="00E81990" w:rsidRPr="002D70DA" w:rsidTr="00E8199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81990" w:rsidRPr="00C34218" w:rsidRDefault="00E81990" w:rsidP="00E81990">
            <w:pPr>
              <w:ind w:left="497"/>
              <w:rPr>
                <w:rFonts w:ascii="Arial" w:hAnsi="Arial" w:cs="Arial"/>
                <w:sz w:val="17"/>
                <w:szCs w:val="17"/>
              </w:rPr>
            </w:pPr>
            <w:r w:rsidRPr="00C34218">
              <w:rPr>
                <w:rFonts w:ascii="Arial" w:hAnsi="Arial" w:cs="Arial"/>
                <w:sz w:val="17"/>
                <w:szCs w:val="17"/>
              </w:rPr>
              <w:t>Comisión de Transparencia y Acceso a la</w:t>
            </w:r>
          </w:p>
          <w:p w:rsidR="00E81990" w:rsidRPr="00560A6D" w:rsidRDefault="00E81990" w:rsidP="00E81990">
            <w:pPr>
              <w:ind w:left="497"/>
              <w:rPr>
                <w:rFonts w:ascii="Arial" w:hAnsi="Arial" w:cs="Arial"/>
                <w:sz w:val="17"/>
                <w:szCs w:val="17"/>
              </w:rPr>
            </w:pPr>
            <w:r w:rsidRPr="00C34218">
              <w:rPr>
                <w:rFonts w:ascii="Arial" w:hAnsi="Arial" w:cs="Arial"/>
                <w:sz w:val="17"/>
                <w:szCs w:val="17"/>
              </w:rPr>
              <w:t>Información Pública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E81990" w:rsidRPr="00C2770F" w:rsidRDefault="00E81990" w:rsidP="00E81990">
            <w:pPr>
              <w:jc w:val="right"/>
              <w:rPr>
                <w:rFonts w:ascii="Arial" w:hAnsi="Arial" w:cs="Arial"/>
                <w:sz w:val="17"/>
                <w:szCs w:val="17"/>
              </w:rPr>
            </w:pPr>
            <w:r w:rsidRPr="00C2770F">
              <w:rPr>
                <w:rFonts w:ascii="Arial" w:hAnsi="Arial" w:cs="Arial"/>
                <w:sz w:val="17"/>
                <w:szCs w:val="17"/>
              </w:rPr>
              <w:t xml:space="preserve">18,000 </w:t>
            </w:r>
          </w:p>
        </w:tc>
        <w:tc>
          <w:tcPr>
            <w:tcW w:w="2180" w:type="dxa"/>
            <w:tcBorders>
              <w:top w:val="single" w:sz="4" w:space="0" w:color="auto"/>
              <w:left w:val="nil"/>
              <w:bottom w:val="single" w:sz="4" w:space="0" w:color="auto"/>
              <w:right w:val="single" w:sz="4" w:space="0" w:color="auto"/>
            </w:tcBorders>
            <w:shd w:val="clear" w:color="auto" w:fill="auto"/>
          </w:tcPr>
          <w:p w:rsidR="00E81990" w:rsidRPr="00E81990" w:rsidRDefault="00E81990" w:rsidP="00E81990">
            <w:pPr>
              <w:jc w:val="right"/>
              <w:rPr>
                <w:rFonts w:ascii="Arial" w:hAnsi="Arial" w:cs="Arial"/>
                <w:sz w:val="17"/>
                <w:szCs w:val="17"/>
              </w:rPr>
            </w:pPr>
            <w:r w:rsidRPr="00E81990">
              <w:rPr>
                <w:rFonts w:ascii="Arial" w:hAnsi="Arial" w:cs="Arial"/>
                <w:sz w:val="17"/>
                <w:szCs w:val="17"/>
              </w:rPr>
              <w:t xml:space="preserve">18,000 </w:t>
            </w:r>
          </w:p>
        </w:tc>
      </w:tr>
      <w:tr w:rsidR="00E81990" w:rsidRPr="002D70DA" w:rsidTr="00E8199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81990" w:rsidRPr="00560A6D" w:rsidRDefault="00E81990" w:rsidP="00E81990">
            <w:pPr>
              <w:ind w:left="497"/>
              <w:rPr>
                <w:rFonts w:ascii="Arial" w:hAnsi="Arial" w:cs="Arial"/>
                <w:sz w:val="17"/>
                <w:szCs w:val="17"/>
              </w:rPr>
            </w:pPr>
            <w:r w:rsidRPr="00C34218">
              <w:rPr>
                <w:rFonts w:ascii="Arial" w:hAnsi="Arial" w:cs="Arial"/>
                <w:sz w:val="17"/>
                <w:szCs w:val="17"/>
              </w:rPr>
              <w:t>Instituto Electoral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E81990" w:rsidRPr="00C2770F" w:rsidRDefault="00E81990" w:rsidP="00E81990">
            <w:pPr>
              <w:jc w:val="right"/>
              <w:rPr>
                <w:rFonts w:ascii="Arial" w:hAnsi="Arial" w:cs="Arial"/>
                <w:sz w:val="17"/>
                <w:szCs w:val="17"/>
              </w:rPr>
            </w:pPr>
            <w:r w:rsidRPr="00C2770F">
              <w:rPr>
                <w:rFonts w:ascii="Arial" w:hAnsi="Arial" w:cs="Arial"/>
                <w:sz w:val="17"/>
                <w:szCs w:val="17"/>
              </w:rPr>
              <w:t xml:space="preserve">12,885 </w:t>
            </w:r>
          </w:p>
        </w:tc>
        <w:tc>
          <w:tcPr>
            <w:tcW w:w="2180" w:type="dxa"/>
            <w:tcBorders>
              <w:top w:val="single" w:sz="4" w:space="0" w:color="auto"/>
              <w:left w:val="nil"/>
              <w:bottom w:val="single" w:sz="4" w:space="0" w:color="auto"/>
              <w:right w:val="single" w:sz="4" w:space="0" w:color="auto"/>
            </w:tcBorders>
            <w:shd w:val="clear" w:color="auto" w:fill="auto"/>
          </w:tcPr>
          <w:p w:rsidR="00E81990" w:rsidRPr="00E81990" w:rsidRDefault="00E81990" w:rsidP="00E81990">
            <w:pPr>
              <w:jc w:val="right"/>
              <w:rPr>
                <w:rFonts w:ascii="Arial" w:hAnsi="Arial" w:cs="Arial"/>
                <w:sz w:val="17"/>
                <w:szCs w:val="17"/>
              </w:rPr>
            </w:pPr>
            <w:r w:rsidRPr="00E81990">
              <w:rPr>
                <w:rFonts w:ascii="Arial" w:hAnsi="Arial" w:cs="Arial"/>
                <w:sz w:val="17"/>
                <w:szCs w:val="17"/>
              </w:rPr>
              <w:t xml:space="preserve">12,885 </w:t>
            </w:r>
          </w:p>
        </w:tc>
      </w:tr>
      <w:tr w:rsidR="00E81990" w:rsidRPr="002D70DA" w:rsidTr="00E81990">
        <w:trPr>
          <w:trHeight w:val="240"/>
          <w:jc w:val="center"/>
        </w:trPr>
        <w:tc>
          <w:tcPr>
            <w:tcW w:w="4900" w:type="dxa"/>
            <w:tcBorders>
              <w:top w:val="nil"/>
              <w:left w:val="nil"/>
              <w:bottom w:val="nil"/>
              <w:right w:val="single" w:sz="4" w:space="0" w:color="auto"/>
            </w:tcBorders>
            <w:shd w:val="clear" w:color="000000" w:fill="FFFFFF"/>
            <w:vAlign w:val="center"/>
            <w:hideMark/>
          </w:tcPr>
          <w:p w:rsidR="00E81990" w:rsidRPr="002D70DA" w:rsidRDefault="00E81990" w:rsidP="00E81990">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E81990" w:rsidRPr="00C2770F" w:rsidRDefault="00E81990" w:rsidP="00E81990">
            <w:pPr>
              <w:jc w:val="right"/>
              <w:rPr>
                <w:rFonts w:ascii="Arial" w:hAnsi="Arial" w:cs="Arial"/>
                <w:b/>
                <w:sz w:val="17"/>
                <w:szCs w:val="17"/>
              </w:rPr>
            </w:pPr>
            <w:r w:rsidRPr="00C2770F">
              <w:rPr>
                <w:rFonts w:ascii="Arial" w:hAnsi="Arial" w:cs="Arial"/>
                <w:b/>
                <w:sz w:val="17"/>
                <w:szCs w:val="17"/>
              </w:rPr>
              <w:t xml:space="preserve">30,885 </w:t>
            </w:r>
          </w:p>
        </w:tc>
        <w:tc>
          <w:tcPr>
            <w:tcW w:w="2180" w:type="dxa"/>
            <w:tcBorders>
              <w:top w:val="nil"/>
              <w:left w:val="single" w:sz="4" w:space="0" w:color="auto"/>
              <w:bottom w:val="single" w:sz="4" w:space="0" w:color="auto"/>
              <w:right w:val="single" w:sz="4" w:space="0" w:color="auto"/>
            </w:tcBorders>
            <w:shd w:val="clear" w:color="000000" w:fill="FFFFFF"/>
          </w:tcPr>
          <w:p w:rsidR="00E81990" w:rsidRPr="00E81990" w:rsidRDefault="00E81990" w:rsidP="00E81990">
            <w:pPr>
              <w:jc w:val="right"/>
              <w:rPr>
                <w:rFonts w:ascii="Arial" w:hAnsi="Arial" w:cs="Arial"/>
                <w:b/>
                <w:sz w:val="17"/>
                <w:szCs w:val="17"/>
              </w:rPr>
            </w:pPr>
            <w:r w:rsidRPr="00E81990">
              <w:rPr>
                <w:rFonts w:ascii="Arial" w:hAnsi="Arial" w:cs="Arial"/>
                <w:b/>
                <w:sz w:val="17"/>
                <w:szCs w:val="17"/>
              </w:rPr>
              <w:t xml:space="preserve">30,885 </w:t>
            </w:r>
          </w:p>
        </w:tc>
      </w:tr>
    </w:tbl>
    <w:p w:rsidR="00FA7272" w:rsidRDefault="00FA7272" w:rsidP="00FA7272">
      <w:pPr>
        <w:spacing w:before="80" w:line="250" w:lineRule="exact"/>
        <w:ind w:left="709"/>
        <w:jc w:val="both"/>
        <w:rPr>
          <w:rFonts w:ascii="Arial" w:eastAsia="Calibri" w:hAnsi="Arial" w:cs="Arial"/>
          <w:spacing w:val="-1"/>
          <w:sz w:val="17"/>
          <w:szCs w:val="17"/>
        </w:rPr>
      </w:pPr>
    </w:p>
    <w:p w:rsidR="00FA7272" w:rsidRDefault="00FA7272" w:rsidP="009B6079">
      <w:pPr>
        <w:spacing w:before="80" w:line="250" w:lineRule="exact"/>
        <w:ind w:left="709"/>
        <w:jc w:val="both"/>
        <w:rPr>
          <w:rFonts w:ascii="Arial" w:eastAsia="Calibri" w:hAnsi="Arial" w:cs="Arial"/>
          <w:spacing w:val="-1"/>
          <w:sz w:val="17"/>
          <w:szCs w:val="17"/>
        </w:rPr>
      </w:pPr>
    </w:p>
    <w:p w:rsidR="00576BE8" w:rsidRPr="002D70DA" w:rsidRDefault="00576BE8" w:rsidP="00576BE8">
      <w:pPr>
        <w:pStyle w:val="Prrafodelista"/>
        <w:numPr>
          <w:ilvl w:val="0"/>
          <w:numId w:val="8"/>
        </w:numPr>
        <w:spacing w:before="80" w:line="250" w:lineRule="exact"/>
        <w:contextualSpacing w:val="0"/>
        <w:jc w:val="both"/>
        <w:rPr>
          <w:rFonts w:ascii="Arial" w:eastAsia="Calibri" w:hAnsi="Arial" w:cs="Arial"/>
          <w:b/>
          <w:spacing w:val="-1"/>
          <w:sz w:val="17"/>
          <w:szCs w:val="17"/>
        </w:rPr>
      </w:pPr>
      <w:r>
        <w:rPr>
          <w:rFonts w:ascii="Arial" w:eastAsia="Calibri" w:hAnsi="Arial" w:cs="Arial"/>
          <w:b/>
          <w:spacing w:val="-1"/>
          <w:sz w:val="17"/>
          <w:szCs w:val="17"/>
        </w:rPr>
        <w:t>Otros Activos no Circulantes</w:t>
      </w:r>
    </w:p>
    <w:p w:rsidR="00576BE8" w:rsidRDefault="00576BE8" w:rsidP="00576BE8">
      <w:pPr>
        <w:spacing w:before="80" w:line="250" w:lineRule="exact"/>
        <w:ind w:left="709"/>
        <w:jc w:val="both"/>
        <w:rPr>
          <w:rFonts w:ascii="Arial" w:eastAsia="Calibri" w:hAnsi="Arial" w:cs="Arial"/>
          <w:spacing w:val="-1"/>
          <w:sz w:val="17"/>
          <w:szCs w:val="17"/>
        </w:rPr>
      </w:pPr>
      <w:r w:rsidRPr="007F7800">
        <w:rPr>
          <w:rFonts w:ascii="Arial" w:eastAsia="Calibri" w:hAnsi="Arial" w:cs="Arial"/>
          <w:spacing w:val="-1"/>
          <w:sz w:val="17"/>
          <w:szCs w:val="17"/>
        </w:rPr>
        <w:t xml:space="preserve">Se informa </w:t>
      </w:r>
      <w:r>
        <w:rPr>
          <w:rFonts w:ascii="Arial" w:eastAsia="Calibri" w:hAnsi="Arial" w:cs="Arial"/>
          <w:spacing w:val="-1"/>
          <w:sz w:val="17"/>
          <w:szCs w:val="17"/>
        </w:rPr>
        <w:t xml:space="preserve">el saldo de la cuenta </w:t>
      </w:r>
      <w:r w:rsidRPr="007F7800">
        <w:rPr>
          <w:rFonts w:ascii="Arial" w:eastAsia="Calibri" w:hAnsi="Arial" w:cs="Arial"/>
          <w:spacing w:val="-1"/>
          <w:sz w:val="17"/>
          <w:szCs w:val="17"/>
        </w:rPr>
        <w:t xml:space="preserve">de </w:t>
      </w:r>
      <w:r>
        <w:rPr>
          <w:rFonts w:ascii="Arial" w:eastAsia="Calibri" w:hAnsi="Arial" w:cs="Arial"/>
          <w:spacing w:val="-1"/>
          <w:sz w:val="17"/>
          <w:szCs w:val="17"/>
        </w:rPr>
        <w:t>Otros Activos no Circulantes</w:t>
      </w:r>
      <w:r w:rsidRPr="007F7800">
        <w:rPr>
          <w:rFonts w:ascii="Arial" w:eastAsia="Calibri" w:hAnsi="Arial" w:cs="Arial"/>
          <w:spacing w:val="-1"/>
          <w:sz w:val="17"/>
          <w:szCs w:val="17"/>
        </w:rPr>
        <w:t xml:space="preserve">, al 31 de diciembre del </w:t>
      </w:r>
      <w:r w:rsidR="00FD7D84">
        <w:rPr>
          <w:rFonts w:ascii="Arial" w:eastAsia="Calibri" w:hAnsi="Arial" w:cs="Arial"/>
          <w:spacing w:val="-1"/>
          <w:sz w:val="17"/>
          <w:szCs w:val="17"/>
        </w:rPr>
        <w:t>2020</w:t>
      </w:r>
      <w:r>
        <w:rPr>
          <w:rFonts w:ascii="Arial" w:eastAsia="Calibri" w:hAnsi="Arial" w:cs="Arial"/>
          <w:spacing w:val="-1"/>
          <w:sz w:val="17"/>
          <w:szCs w:val="17"/>
        </w:rPr>
        <w:t>:</w:t>
      </w:r>
    </w:p>
    <w:p w:rsidR="00576BE8" w:rsidRPr="00785016" w:rsidRDefault="00576BE8" w:rsidP="00576BE8">
      <w:pPr>
        <w:autoSpaceDE w:val="0"/>
        <w:autoSpaceDN w:val="0"/>
        <w:adjustRightInd w:val="0"/>
        <w:spacing w:before="240" w:after="120"/>
        <w:ind w:left="360"/>
        <w:jc w:val="center"/>
        <w:rPr>
          <w:rFonts w:ascii="Arial" w:eastAsia="Calibri" w:hAnsi="Arial" w:cs="Arial"/>
          <w:b/>
          <w:spacing w:val="-1"/>
          <w:sz w:val="17"/>
          <w:szCs w:val="17"/>
        </w:rPr>
      </w:pPr>
      <w:r w:rsidRPr="00785016">
        <w:rPr>
          <w:rFonts w:ascii="Arial" w:eastAsia="Calibri" w:hAnsi="Arial" w:cs="Arial"/>
          <w:b/>
          <w:spacing w:val="-1"/>
          <w:sz w:val="17"/>
          <w:szCs w:val="17"/>
        </w:rPr>
        <w:t>(Pesos)</w:t>
      </w:r>
    </w:p>
    <w:tbl>
      <w:tblPr>
        <w:tblW w:w="9270" w:type="dxa"/>
        <w:jc w:val="center"/>
        <w:tblCellMar>
          <w:left w:w="70" w:type="dxa"/>
          <w:right w:w="70" w:type="dxa"/>
        </w:tblCellMar>
        <w:tblLook w:val="04A0" w:firstRow="1" w:lastRow="0" w:firstColumn="1" w:lastColumn="0" w:noHBand="0" w:noVBand="1"/>
        <w:tblDescription w:val="monto"/>
      </w:tblPr>
      <w:tblGrid>
        <w:gridCol w:w="4901"/>
        <w:gridCol w:w="2180"/>
        <w:gridCol w:w="2179"/>
        <w:gridCol w:w="10"/>
      </w:tblGrid>
      <w:tr w:rsidR="00576BE8" w:rsidRPr="002D70DA" w:rsidTr="00536E26">
        <w:trPr>
          <w:trHeight w:val="240"/>
          <w:jc w:val="center"/>
        </w:trPr>
        <w:tc>
          <w:tcPr>
            <w:tcW w:w="49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76BE8" w:rsidRPr="002D70DA" w:rsidRDefault="00576BE8" w:rsidP="00F338A3">
            <w:pPr>
              <w:jc w:val="center"/>
              <w:rPr>
                <w:rFonts w:ascii="Arial" w:hAnsi="Arial" w:cs="Arial"/>
                <w:b/>
                <w:bCs/>
                <w:color w:val="000000"/>
                <w:sz w:val="17"/>
                <w:szCs w:val="17"/>
              </w:rPr>
            </w:pPr>
            <w:r>
              <w:rPr>
                <w:rFonts w:ascii="Arial" w:hAnsi="Arial" w:cs="Arial"/>
                <w:b/>
                <w:bCs/>
                <w:color w:val="000000"/>
                <w:sz w:val="17"/>
                <w:szCs w:val="17"/>
              </w:rPr>
              <w:t>Concepto</w:t>
            </w:r>
            <w:r w:rsidRPr="002D70DA">
              <w:rPr>
                <w:rFonts w:ascii="Arial" w:hAnsi="Arial" w:cs="Arial"/>
                <w:b/>
                <w:bCs/>
                <w:color w:val="000000"/>
                <w:sz w:val="17"/>
                <w:szCs w:val="17"/>
              </w:rPr>
              <w:t>:</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576BE8"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2020</w:t>
            </w:r>
          </w:p>
        </w:tc>
        <w:tc>
          <w:tcPr>
            <w:tcW w:w="2189" w:type="dxa"/>
            <w:gridSpan w:val="2"/>
            <w:tcBorders>
              <w:top w:val="single" w:sz="4" w:space="0" w:color="auto"/>
              <w:left w:val="nil"/>
              <w:bottom w:val="single" w:sz="4" w:space="0" w:color="auto"/>
              <w:right w:val="single" w:sz="4" w:space="0" w:color="auto"/>
            </w:tcBorders>
            <w:shd w:val="clear" w:color="auto" w:fill="D5DCE4" w:themeFill="text2" w:themeFillTint="33"/>
            <w:vAlign w:val="center"/>
            <w:hideMark/>
          </w:tcPr>
          <w:p w:rsidR="00576BE8"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2019</w:t>
            </w:r>
          </w:p>
        </w:tc>
      </w:tr>
      <w:tr w:rsidR="00536E26" w:rsidRPr="002D70DA" w:rsidTr="00536E26">
        <w:trPr>
          <w:trHeight w:val="240"/>
          <w:jc w:val="center"/>
        </w:trPr>
        <w:tc>
          <w:tcPr>
            <w:tcW w:w="4901" w:type="dxa"/>
            <w:tcBorders>
              <w:top w:val="single" w:sz="4" w:space="0" w:color="auto"/>
              <w:left w:val="single" w:sz="4" w:space="0" w:color="auto"/>
              <w:bottom w:val="single" w:sz="4" w:space="0" w:color="auto"/>
              <w:right w:val="single" w:sz="4" w:space="0" w:color="auto"/>
            </w:tcBorders>
            <w:shd w:val="clear" w:color="auto" w:fill="auto"/>
          </w:tcPr>
          <w:p w:rsidR="00536E26" w:rsidRPr="00576BE8" w:rsidRDefault="00536E26" w:rsidP="00536E26">
            <w:pPr>
              <w:rPr>
                <w:rFonts w:ascii="Arial" w:hAnsi="Arial" w:cs="Arial"/>
                <w:sz w:val="17"/>
                <w:szCs w:val="17"/>
              </w:rPr>
            </w:pPr>
            <w:r w:rsidRPr="00576BE8">
              <w:rPr>
                <w:rFonts w:ascii="Arial" w:hAnsi="Arial" w:cs="Arial"/>
                <w:sz w:val="17"/>
                <w:szCs w:val="17"/>
              </w:rPr>
              <w:t>Bienes en Concesión</w:t>
            </w:r>
          </w:p>
        </w:tc>
        <w:tc>
          <w:tcPr>
            <w:tcW w:w="2180" w:type="dxa"/>
            <w:tcBorders>
              <w:top w:val="single" w:sz="4" w:space="0" w:color="auto"/>
              <w:left w:val="nil"/>
              <w:bottom w:val="single" w:sz="4" w:space="0" w:color="auto"/>
              <w:right w:val="single" w:sz="4" w:space="0" w:color="auto"/>
            </w:tcBorders>
            <w:shd w:val="clear" w:color="auto" w:fill="auto"/>
          </w:tcPr>
          <w:p w:rsidR="00536E26" w:rsidRPr="00232A52" w:rsidRDefault="00536E26" w:rsidP="00536E26">
            <w:pPr>
              <w:jc w:val="right"/>
              <w:rPr>
                <w:rFonts w:ascii="Arial" w:hAnsi="Arial" w:cs="Arial"/>
                <w:sz w:val="17"/>
                <w:szCs w:val="17"/>
              </w:rPr>
            </w:pPr>
            <w:r w:rsidRPr="00232A52">
              <w:rPr>
                <w:rFonts w:ascii="Arial" w:hAnsi="Arial" w:cs="Arial"/>
                <w:sz w:val="17"/>
                <w:szCs w:val="17"/>
              </w:rPr>
              <w:t xml:space="preserve"> 2,159 </w:t>
            </w:r>
          </w:p>
        </w:tc>
        <w:tc>
          <w:tcPr>
            <w:tcW w:w="2189" w:type="dxa"/>
            <w:gridSpan w:val="2"/>
            <w:tcBorders>
              <w:top w:val="single" w:sz="4" w:space="0" w:color="auto"/>
              <w:left w:val="nil"/>
              <w:bottom w:val="single" w:sz="4" w:space="0" w:color="auto"/>
              <w:right w:val="single" w:sz="4" w:space="0" w:color="auto"/>
            </w:tcBorders>
            <w:shd w:val="clear" w:color="auto" w:fill="auto"/>
          </w:tcPr>
          <w:p w:rsidR="00536E26" w:rsidRPr="00536E26" w:rsidRDefault="00536E26" w:rsidP="00536E26">
            <w:pPr>
              <w:jc w:val="right"/>
              <w:rPr>
                <w:rFonts w:ascii="Arial" w:hAnsi="Arial" w:cs="Arial"/>
                <w:sz w:val="17"/>
                <w:szCs w:val="17"/>
              </w:rPr>
            </w:pPr>
            <w:r w:rsidRPr="00536E26">
              <w:rPr>
                <w:rFonts w:ascii="Arial" w:hAnsi="Arial" w:cs="Arial"/>
                <w:sz w:val="17"/>
                <w:szCs w:val="17"/>
              </w:rPr>
              <w:t xml:space="preserve"> 2,159 </w:t>
            </w:r>
          </w:p>
        </w:tc>
      </w:tr>
      <w:tr w:rsidR="00536E26" w:rsidRPr="002D70DA" w:rsidTr="00536E26">
        <w:trPr>
          <w:trHeight w:val="240"/>
          <w:jc w:val="center"/>
        </w:trPr>
        <w:tc>
          <w:tcPr>
            <w:tcW w:w="4901" w:type="dxa"/>
            <w:tcBorders>
              <w:top w:val="single" w:sz="4" w:space="0" w:color="auto"/>
              <w:left w:val="single" w:sz="4" w:space="0" w:color="auto"/>
              <w:bottom w:val="single" w:sz="4" w:space="0" w:color="auto"/>
              <w:right w:val="single" w:sz="4" w:space="0" w:color="auto"/>
            </w:tcBorders>
            <w:shd w:val="clear" w:color="auto" w:fill="auto"/>
          </w:tcPr>
          <w:p w:rsidR="00536E26" w:rsidRPr="00576BE8" w:rsidRDefault="00536E26" w:rsidP="00536E26">
            <w:pPr>
              <w:rPr>
                <w:rFonts w:ascii="Arial" w:hAnsi="Arial" w:cs="Arial"/>
                <w:sz w:val="17"/>
                <w:szCs w:val="17"/>
              </w:rPr>
            </w:pPr>
            <w:r w:rsidRPr="00576BE8">
              <w:rPr>
                <w:rFonts w:ascii="Arial" w:hAnsi="Arial" w:cs="Arial"/>
                <w:sz w:val="17"/>
                <w:szCs w:val="17"/>
              </w:rPr>
              <w:t>Bienes en Comodato</w:t>
            </w:r>
          </w:p>
        </w:tc>
        <w:tc>
          <w:tcPr>
            <w:tcW w:w="2180" w:type="dxa"/>
            <w:tcBorders>
              <w:top w:val="single" w:sz="4" w:space="0" w:color="auto"/>
              <w:left w:val="nil"/>
              <w:bottom w:val="single" w:sz="4" w:space="0" w:color="auto"/>
              <w:right w:val="single" w:sz="4" w:space="0" w:color="auto"/>
            </w:tcBorders>
            <w:shd w:val="clear" w:color="auto" w:fill="auto"/>
          </w:tcPr>
          <w:p w:rsidR="00536E26" w:rsidRPr="00232A52" w:rsidRDefault="00536E26" w:rsidP="00536E26">
            <w:pPr>
              <w:jc w:val="right"/>
              <w:rPr>
                <w:rFonts w:ascii="Arial" w:hAnsi="Arial" w:cs="Arial"/>
                <w:sz w:val="17"/>
                <w:szCs w:val="17"/>
              </w:rPr>
            </w:pPr>
            <w:r w:rsidRPr="00536E26">
              <w:rPr>
                <w:rFonts w:ascii="Arial" w:hAnsi="Arial" w:cs="Arial"/>
                <w:sz w:val="17"/>
                <w:szCs w:val="17"/>
              </w:rPr>
              <w:t>20,864,417,588</w:t>
            </w:r>
          </w:p>
        </w:tc>
        <w:tc>
          <w:tcPr>
            <w:tcW w:w="2189" w:type="dxa"/>
            <w:gridSpan w:val="2"/>
            <w:tcBorders>
              <w:top w:val="single" w:sz="4" w:space="0" w:color="auto"/>
              <w:left w:val="nil"/>
              <w:bottom w:val="single" w:sz="4" w:space="0" w:color="auto"/>
              <w:right w:val="single" w:sz="4" w:space="0" w:color="auto"/>
            </w:tcBorders>
            <w:shd w:val="clear" w:color="auto" w:fill="auto"/>
          </w:tcPr>
          <w:p w:rsidR="00536E26" w:rsidRPr="00536E26" w:rsidRDefault="00536E26" w:rsidP="00536E26">
            <w:pPr>
              <w:jc w:val="right"/>
              <w:rPr>
                <w:rFonts w:ascii="Arial" w:hAnsi="Arial" w:cs="Arial"/>
                <w:sz w:val="17"/>
                <w:szCs w:val="17"/>
              </w:rPr>
            </w:pPr>
            <w:r w:rsidRPr="00536E26">
              <w:rPr>
                <w:rFonts w:ascii="Arial" w:hAnsi="Arial" w:cs="Arial"/>
                <w:sz w:val="17"/>
                <w:szCs w:val="17"/>
              </w:rPr>
              <w:t xml:space="preserve"> 16,104,188,340 </w:t>
            </w:r>
          </w:p>
        </w:tc>
      </w:tr>
      <w:tr w:rsidR="00536E26" w:rsidRPr="002D70DA" w:rsidTr="00536E26">
        <w:trPr>
          <w:gridAfter w:val="1"/>
          <w:wAfter w:w="10" w:type="dxa"/>
          <w:trHeight w:val="240"/>
          <w:jc w:val="center"/>
        </w:trPr>
        <w:tc>
          <w:tcPr>
            <w:tcW w:w="4901" w:type="dxa"/>
            <w:tcBorders>
              <w:top w:val="nil"/>
              <w:left w:val="nil"/>
              <w:bottom w:val="nil"/>
              <w:right w:val="single" w:sz="4" w:space="0" w:color="auto"/>
            </w:tcBorders>
            <w:shd w:val="clear" w:color="000000" w:fill="FFFFFF"/>
            <w:vAlign w:val="center"/>
            <w:hideMark/>
          </w:tcPr>
          <w:p w:rsidR="00536E26" w:rsidRPr="002D70DA" w:rsidRDefault="00536E26" w:rsidP="00536E26">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536E26" w:rsidRPr="00232A52" w:rsidRDefault="00536E26" w:rsidP="00536E26">
            <w:pPr>
              <w:jc w:val="right"/>
              <w:rPr>
                <w:rFonts w:ascii="Arial" w:hAnsi="Arial" w:cs="Arial"/>
                <w:b/>
                <w:sz w:val="17"/>
                <w:szCs w:val="17"/>
              </w:rPr>
            </w:pPr>
            <w:r w:rsidRPr="00536E26">
              <w:rPr>
                <w:rFonts w:ascii="Arial" w:hAnsi="Arial" w:cs="Arial"/>
                <w:b/>
                <w:sz w:val="17"/>
                <w:szCs w:val="17"/>
              </w:rPr>
              <w:t>20,864,419,748</w:t>
            </w:r>
          </w:p>
        </w:tc>
        <w:tc>
          <w:tcPr>
            <w:tcW w:w="2179" w:type="dxa"/>
            <w:tcBorders>
              <w:top w:val="nil"/>
              <w:left w:val="single" w:sz="4" w:space="0" w:color="auto"/>
              <w:bottom w:val="single" w:sz="4" w:space="0" w:color="auto"/>
              <w:right w:val="single" w:sz="4" w:space="0" w:color="auto"/>
            </w:tcBorders>
            <w:shd w:val="clear" w:color="000000" w:fill="FFFFFF"/>
          </w:tcPr>
          <w:p w:rsidR="00536E26" w:rsidRPr="00536E26" w:rsidRDefault="00536E26" w:rsidP="00536E26">
            <w:pPr>
              <w:jc w:val="right"/>
              <w:rPr>
                <w:rFonts w:ascii="Arial" w:hAnsi="Arial" w:cs="Arial"/>
                <w:b/>
                <w:sz w:val="17"/>
                <w:szCs w:val="17"/>
              </w:rPr>
            </w:pPr>
            <w:r w:rsidRPr="00536E26">
              <w:rPr>
                <w:rFonts w:ascii="Arial" w:hAnsi="Arial" w:cs="Arial"/>
                <w:b/>
                <w:sz w:val="17"/>
                <w:szCs w:val="17"/>
              </w:rPr>
              <w:t xml:space="preserve"> 16,104,190,499 </w:t>
            </w:r>
          </w:p>
        </w:tc>
      </w:tr>
    </w:tbl>
    <w:p w:rsidR="00576BE8" w:rsidRDefault="00576BE8" w:rsidP="00576BE8">
      <w:pPr>
        <w:spacing w:before="80" w:line="250" w:lineRule="exact"/>
        <w:ind w:left="709"/>
        <w:jc w:val="both"/>
        <w:rPr>
          <w:rFonts w:ascii="Arial" w:eastAsia="Calibri" w:hAnsi="Arial" w:cs="Arial"/>
          <w:spacing w:val="-1"/>
          <w:sz w:val="17"/>
          <w:szCs w:val="17"/>
        </w:rPr>
      </w:pPr>
    </w:p>
    <w:p w:rsidR="00576BE8" w:rsidRDefault="00576BE8" w:rsidP="00576BE8">
      <w:pPr>
        <w:rPr>
          <w:rFonts w:ascii="Arial" w:eastAsia="Calibri" w:hAnsi="Arial" w:cs="Arial"/>
          <w:spacing w:val="-1"/>
          <w:sz w:val="17"/>
          <w:szCs w:val="17"/>
        </w:rPr>
      </w:pPr>
    </w:p>
    <w:p w:rsidR="00576BE8" w:rsidRDefault="00576BE8" w:rsidP="00576BE8">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El cual está distribuido de la siguiente manera:</w:t>
      </w:r>
    </w:p>
    <w:p w:rsidR="00576BE8" w:rsidRPr="002D70DA" w:rsidRDefault="00576BE8" w:rsidP="00576BE8">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 xml:space="preserve"> (Pesos)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576BE8" w:rsidRPr="002D70DA" w:rsidTr="00536E2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76BE8" w:rsidRPr="002D70DA" w:rsidRDefault="00576BE8" w:rsidP="00F338A3">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576BE8"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576BE8"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2019</w:t>
            </w:r>
          </w:p>
        </w:tc>
      </w:tr>
      <w:tr w:rsidR="00536E26" w:rsidRPr="002D70DA" w:rsidTr="00536E2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36E26" w:rsidRPr="00C34218" w:rsidRDefault="00536E26" w:rsidP="00536E26">
            <w:pPr>
              <w:rPr>
                <w:rFonts w:ascii="Arial" w:hAnsi="Arial" w:cs="Arial"/>
                <w:b/>
                <w:sz w:val="17"/>
                <w:szCs w:val="17"/>
              </w:rPr>
            </w:pPr>
            <w:r w:rsidRPr="00C34218">
              <w:rPr>
                <w:rFonts w:ascii="Arial" w:hAnsi="Arial" w:cs="Arial"/>
                <w:b/>
                <w:sz w:val="17"/>
                <w:szCs w:val="17"/>
              </w:rPr>
              <w:t>Poder Ejecutivo</w:t>
            </w:r>
          </w:p>
        </w:tc>
        <w:tc>
          <w:tcPr>
            <w:tcW w:w="2180" w:type="dxa"/>
            <w:tcBorders>
              <w:top w:val="single" w:sz="4" w:space="0" w:color="auto"/>
              <w:left w:val="nil"/>
              <w:bottom w:val="single" w:sz="4" w:space="0" w:color="auto"/>
              <w:right w:val="single" w:sz="4" w:space="0" w:color="auto"/>
            </w:tcBorders>
            <w:shd w:val="clear" w:color="auto" w:fill="auto"/>
          </w:tcPr>
          <w:p w:rsidR="00536E26" w:rsidRPr="0085799D" w:rsidRDefault="00536E26" w:rsidP="00536E26">
            <w:pPr>
              <w:jc w:val="right"/>
              <w:rPr>
                <w:rFonts w:ascii="Arial" w:hAnsi="Arial" w:cs="Arial"/>
                <w:b/>
                <w:sz w:val="17"/>
                <w:szCs w:val="17"/>
              </w:rPr>
            </w:pPr>
            <w:r w:rsidRPr="00536E26">
              <w:rPr>
                <w:rFonts w:ascii="Arial" w:hAnsi="Arial" w:cs="Arial"/>
                <w:b/>
                <w:sz w:val="17"/>
                <w:szCs w:val="17"/>
              </w:rPr>
              <w:t>20,864,417,588</w:t>
            </w:r>
          </w:p>
        </w:tc>
        <w:tc>
          <w:tcPr>
            <w:tcW w:w="2180" w:type="dxa"/>
            <w:tcBorders>
              <w:top w:val="single" w:sz="4" w:space="0" w:color="auto"/>
              <w:left w:val="nil"/>
              <w:bottom w:val="single" w:sz="4" w:space="0" w:color="auto"/>
              <w:right w:val="single" w:sz="4" w:space="0" w:color="auto"/>
            </w:tcBorders>
            <w:shd w:val="clear" w:color="auto" w:fill="auto"/>
          </w:tcPr>
          <w:p w:rsidR="00536E26" w:rsidRPr="00536E26" w:rsidRDefault="00536E26" w:rsidP="00536E26">
            <w:pPr>
              <w:jc w:val="right"/>
              <w:rPr>
                <w:rFonts w:ascii="Arial" w:hAnsi="Arial" w:cs="Arial"/>
                <w:b/>
                <w:sz w:val="17"/>
                <w:szCs w:val="17"/>
              </w:rPr>
            </w:pPr>
            <w:r w:rsidRPr="00536E26">
              <w:rPr>
                <w:rFonts w:ascii="Arial" w:hAnsi="Arial" w:cs="Arial"/>
                <w:b/>
                <w:sz w:val="17"/>
                <w:szCs w:val="17"/>
              </w:rPr>
              <w:t xml:space="preserve">16,104,188,340 </w:t>
            </w:r>
          </w:p>
        </w:tc>
      </w:tr>
      <w:tr w:rsidR="00536E26" w:rsidRPr="002D70DA" w:rsidTr="00536E2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36E26" w:rsidRPr="00C34218" w:rsidRDefault="00536E26" w:rsidP="00536E26">
            <w:pPr>
              <w:rPr>
                <w:rFonts w:ascii="Arial" w:hAnsi="Arial" w:cs="Arial"/>
                <w:b/>
                <w:sz w:val="17"/>
                <w:szCs w:val="17"/>
              </w:rPr>
            </w:pPr>
            <w:r w:rsidRPr="00C34218">
              <w:rPr>
                <w:rFonts w:ascii="Arial" w:hAnsi="Arial" w:cs="Arial"/>
                <w:b/>
                <w:sz w:val="17"/>
                <w:szCs w:val="17"/>
              </w:rPr>
              <w:t>Poder Judicial</w:t>
            </w:r>
          </w:p>
        </w:tc>
        <w:tc>
          <w:tcPr>
            <w:tcW w:w="2180" w:type="dxa"/>
            <w:tcBorders>
              <w:top w:val="single" w:sz="4" w:space="0" w:color="auto"/>
              <w:left w:val="nil"/>
              <w:bottom w:val="single" w:sz="4" w:space="0" w:color="auto"/>
              <w:right w:val="single" w:sz="4" w:space="0" w:color="auto"/>
            </w:tcBorders>
            <w:shd w:val="clear" w:color="auto" w:fill="auto"/>
          </w:tcPr>
          <w:p w:rsidR="00536E26" w:rsidRPr="0085799D" w:rsidRDefault="00536E26" w:rsidP="00536E26">
            <w:pPr>
              <w:jc w:val="right"/>
              <w:rPr>
                <w:rFonts w:ascii="Arial" w:hAnsi="Arial" w:cs="Arial"/>
                <w:b/>
                <w:sz w:val="17"/>
                <w:szCs w:val="17"/>
              </w:rPr>
            </w:pPr>
            <w:r w:rsidRPr="0085799D">
              <w:rPr>
                <w:rFonts w:ascii="Arial" w:hAnsi="Arial" w:cs="Arial"/>
                <w:b/>
                <w:sz w:val="17"/>
                <w:szCs w:val="17"/>
              </w:rPr>
              <w:t xml:space="preserve">2,159 </w:t>
            </w:r>
          </w:p>
        </w:tc>
        <w:tc>
          <w:tcPr>
            <w:tcW w:w="2180" w:type="dxa"/>
            <w:tcBorders>
              <w:top w:val="single" w:sz="4" w:space="0" w:color="auto"/>
              <w:left w:val="nil"/>
              <w:bottom w:val="single" w:sz="4" w:space="0" w:color="auto"/>
              <w:right w:val="single" w:sz="4" w:space="0" w:color="auto"/>
            </w:tcBorders>
            <w:shd w:val="clear" w:color="auto" w:fill="auto"/>
          </w:tcPr>
          <w:p w:rsidR="00536E26" w:rsidRPr="00536E26" w:rsidRDefault="00536E26" w:rsidP="00536E26">
            <w:pPr>
              <w:jc w:val="right"/>
              <w:rPr>
                <w:rFonts w:ascii="Arial" w:hAnsi="Arial" w:cs="Arial"/>
                <w:b/>
                <w:sz w:val="17"/>
                <w:szCs w:val="17"/>
              </w:rPr>
            </w:pPr>
            <w:r w:rsidRPr="00536E26">
              <w:rPr>
                <w:rFonts w:ascii="Arial" w:hAnsi="Arial" w:cs="Arial"/>
                <w:b/>
                <w:sz w:val="17"/>
                <w:szCs w:val="17"/>
              </w:rPr>
              <w:t xml:space="preserve">2,159 </w:t>
            </w:r>
          </w:p>
        </w:tc>
      </w:tr>
      <w:tr w:rsidR="00536E26" w:rsidRPr="002D70DA" w:rsidTr="00536E26">
        <w:trPr>
          <w:trHeight w:val="240"/>
          <w:jc w:val="center"/>
        </w:trPr>
        <w:tc>
          <w:tcPr>
            <w:tcW w:w="4900" w:type="dxa"/>
            <w:tcBorders>
              <w:top w:val="nil"/>
              <w:left w:val="nil"/>
              <w:bottom w:val="nil"/>
              <w:right w:val="single" w:sz="4" w:space="0" w:color="auto"/>
            </w:tcBorders>
            <w:shd w:val="clear" w:color="000000" w:fill="FFFFFF"/>
            <w:vAlign w:val="center"/>
            <w:hideMark/>
          </w:tcPr>
          <w:p w:rsidR="00536E26" w:rsidRPr="002D70DA" w:rsidRDefault="00536E26" w:rsidP="00536E26">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536E26" w:rsidRPr="00232A52" w:rsidRDefault="00536E26" w:rsidP="00536E26">
            <w:pPr>
              <w:jc w:val="right"/>
              <w:rPr>
                <w:rFonts w:ascii="Arial" w:hAnsi="Arial" w:cs="Arial"/>
                <w:b/>
                <w:sz w:val="17"/>
                <w:szCs w:val="17"/>
              </w:rPr>
            </w:pPr>
            <w:r w:rsidRPr="00536E26">
              <w:rPr>
                <w:rFonts w:ascii="Arial" w:hAnsi="Arial" w:cs="Arial"/>
                <w:b/>
                <w:sz w:val="17"/>
                <w:szCs w:val="17"/>
              </w:rPr>
              <w:t>20,864,419,748</w:t>
            </w:r>
          </w:p>
        </w:tc>
        <w:tc>
          <w:tcPr>
            <w:tcW w:w="2180" w:type="dxa"/>
            <w:tcBorders>
              <w:top w:val="nil"/>
              <w:left w:val="single" w:sz="4" w:space="0" w:color="auto"/>
              <w:bottom w:val="single" w:sz="4" w:space="0" w:color="auto"/>
              <w:right w:val="single" w:sz="4" w:space="0" w:color="auto"/>
            </w:tcBorders>
            <w:shd w:val="clear" w:color="000000" w:fill="FFFFFF"/>
          </w:tcPr>
          <w:p w:rsidR="00536E26" w:rsidRPr="00536E26" w:rsidRDefault="00536E26" w:rsidP="00536E26">
            <w:pPr>
              <w:jc w:val="right"/>
              <w:rPr>
                <w:rFonts w:ascii="Arial" w:hAnsi="Arial" w:cs="Arial"/>
                <w:b/>
                <w:sz w:val="17"/>
                <w:szCs w:val="17"/>
              </w:rPr>
            </w:pPr>
            <w:r w:rsidRPr="00536E26">
              <w:rPr>
                <w:rFonts w:ascii="Arial" w:hAnsi="Arial" w:cs="Arial"/>
                <w:b/>
                <w:sz w:val="17"/>
                <w:szCs w:val="17"/>
              </w:rPr>
              <w:t xml:space="preserve">16,104,190,499 </w:t>
            </w:r>
          </w:p>
        </w:tc>
      </w:tr>
    </w:tbl>
    <w:p w:rsidR="00FA7272" w:rsidRDefault="00FA7272" w:rsidP="009B6079">
      <w:pPr>
        <w:spacing w:before="80" w:line="250" w:lineRule="exact"/>
        <w:ind w:left="709"/>
        <w:jc w:val="both"/>
        <w:rPr>
          <w:rFonts w:ascii="Arial" w:eastAsia="Calibri" w:hAnsi="Arial" w:cs="Arial"/>
          <w:spacing w:val="-1"/>
          <w:sz w:val="17"/>
          <w:szCs w:val="17"/>
        </w:rPr>
      </w:pPr>
    </w:p>
    <w:p w:rsidR="00A16CA6" w:rsidRDefault="00A16CA6">
      <w:pPr>
        <w:rPr>
          <w:rFonts w:ascii="Arial" w:eastAsia="Calibri" w:hAnsi="Arial" w:cs="Arial"/>
          <w:spacing w:val="-1"/>
          <w:sz w:val="17"/>
          <w:szCs w:val="17"/>
        </w:rPr>
      </w:pPr>
      <w:r>
        <w:rPr>
          <w:rFonts w:ascii="Arial" w:eastAsia="Calibri" w:hAnsi="Arial" w:cs="Arial"/>
          <w:spacing w:val="-1"/>
          <w:sz w:val="17"/>
          <w:szCs w:val="17"/>
        </w:rPr>
        <w:br w:type="page"/>
      </w:r>
    </w:p>
    <w:p w:rsidR="001749D4" w:rsidRPr="002D70DA" w:rsidRDefault="001749D4" w:rsidP="001749D4">
      <w:pPr>
        <w:autoSpaceDE w:val="0"/>
        <w:autoSpaceDN w:val="0"/>
        <w:adjustRightInd w:val="0"/>
        <w:spacing w:before="240" w:after="120"/>
        <w:jc w:val="both"/>
        <w:rPr>
          <w:rFonts w:ascii="Arial" w:hAnsi="Arial" w:cs="Arial"/>
          <w:b/>
          <w:sz w:val="17"/>
          <w:szCs w:val="17"/>
        </w:rPr>
      </w:pPr>
      <w:r w:rsidRPr="007330ED">
        <w:rPr>
          <w:rFonts w:ascii="Arial" w:hAnsi="Arial" w:cs="Arial"/>
          <w:b/>
          <w:sz w:val="17"/>
          <w:szCs w:val="17"/>
        </w:rPr>
        <w:lastRenderedPageBreak/>
        <w:t>Pasivo</w:t>
      </w:r>
      <w:r w:rsidR="000008C2" w:rsidRPr="007330ED">
        <w:rPr>
          <w:rStyle w:val="Refdenotaalpie"/>
          <w:rFonts w:ascii="Arial" w:hAnsi="Arial" w:cs="Arial"/>
          <w:b/>
          <w:sz w:val="17"/>
          <w:szCs w:val="17"/>
        </w:rPr>
        <w:footnoteReference w:id="1"/>
      </w:r>
    </w:p>
    <w:p w:rsidR="001A0060" w:rsidRPr="008918A4" w:rsidRDefault="001A0060" w:rsidP="006C17A5">
      <w:pPr>
        <w:spacing w:before="80" w:line="250" w:lineRule="exact"/>
        <w:ind w:left="709"/>
        <w:jc w:val="both"/>
        <w:rPr>
          <w:rFonts w:ascii="Arial" w:eastAsia="Calibri" w:hAnsi="Arial" w:cs="Arial"/>
          <w:spacing w:val="-1"/>
          <w:sz w:val="17"/>
          <w:szCs w:val="17"/>
        </w:rPr>
      </w:pPr>
      <w:r w:rsidRPr="008918A4">
        <w:rPr>
          <w:rFonts w:ascii="Arial" w:eastAsia="Calibri" w:hAnsi="Arial" w:cs="Arial"/>
          <w:spacing w:val="-1"/>
          <w:sz w:val="17"/>
          <w:szCs w:val="17"/>
        </w:rPr>
        <w:t>Se informa de manera agrupada por cuenta</w:t>
      </w:r>
      <w:r w:rsidR="00A05A53">
        <w:rPr>
          <w:rFonts w:ascii="Arial" w:eastAsia="Calibri" w:hAnsi="Arial" w:cs="Arial"/>
          <w:spacing w:val="-1"/>
          <w:sz w:val="17"/>
          <w:szCs w:val="17"/>
        </w:rPr>
        <w:t xml:space="preserve"> </w:t>
      </w:r>
      <w:r w:rsidR="00A05A53" w:rsidRPr="008918A4">
        <w:rPr>
          <w:rFonts w:ascii="Arial" w:eastAsia="Calibri" w:hAnsi="Arial" w:cs="Arial"/>
          <w:spacing w:val="-1"/>
          <w:sz w:val="17"/>
          <w:szCs w:val="17"/>
        </w:rPr>
        <w:t xml:space="preserve">el monto al 31 de diciembre del </w:t>
      </w:r>
      <w:r w:rsidR="00FD7D84">
        <w:rPr>
          <w:rFonts w:ascii="Arial" w:eastAsia="Calibri" w:hAnsi="Arial" w:cs="Arial"/>
          <w:spacing w:val="-1"/>
          <w:sz w:val="17"/>
          <w:szCs w:val="17"/>
        </w:rPr>
        <w:t>2020</w:t>
      </w:r>
      <w:r w:rsidR="00A05A53">
        <w:rPr>
          <w:rFonts w:ascii="Arial" w:eastAsia="Calibri" w:hAnsi="Arial" w:cs="Arial"/>
          <w:spacing w:val="-1"/>
          <w:sz w:val="17"/>
          <w:szCs w:val="17"/>
        </w:rPr>
        <w:t xml:space="preserve"> d</w:t>
      </w:r>
      <w:r w:rsidRPr="008918A4">
        <w:rPr>
          <w:rFonts w:ascii="Arial" w:eastAsia="Calibri" w:hAnsi="Arial" w:cs="Arial"/>
          <w:spacing w:val="-1"/>
          <w:sz w:val="17"/>
          <w:szCs w:val="17"/>
        </w:rPr>
        <w:t xml:space="preserve">el rubro de </w:t>
      </w:r>
      <w:r w:rsidR="00A05A53" w:rsidRPr="00A05A53">
        <w:rPr>
          <w:rFonts w:ascii="Arial" w:eastAsia="Calibri" w:hAnsi="Arial" w:cs="Arial"/>
          <w:spacing w:val="-1"/>
          <w:sz w:val="17"/>
          <w:szCs w:val="17"/>
        </w:rPr>
        <w:t>Cuentas por Pagar a Corto Plazo</w:t>
      </w:r>
      <w:r w:rsidR="00A05A53">
        <w:rPr>
          <w:rFonts w:ascii="Arial" w:eastAsia="Calibri" w:hAnsi="Arial" w:cs="Arial"/>
          <w:spacing w:val="-1"/>
          <w:sz w:val="17"/>
          <w:szCs w:val="17"/>
        </w:rPr>
        <w:t>:</w:t>
      </w:r>
    </w:p>
    <w:p w:rsidR="001A0060" w:rsidRPr="005540CE" w:rsidRDefault="001A0060" w:rsidP="001A0060">
      <w:pPr>
        <w:autoSpaceDE w:val="0"/>
        <w:autoSpaceDN w:val="0"/>
        <w:adjustRightInd w:val="0"/>
        <w:spacing w:before="240" w:after="120"/>
        <w:ind w:left="360"/>
        <w:jc w:val="center"/>
        <w:rPr>
          <w:rFonts w:ascii="Arial" w:eastAsia="Calibri" w:hAnsi="Arial" w:cs="Arial"/>
          <w:b/>
          <w:spacing w:val="-1"/>
          <w:sz w:val="17"/>
          <w:szCs w:val="17"/>
        </w:rPr>
      </w:pPr>
      <w:r w:rsidRPr="005540CE">
        <w:rPr>
          <w:rFonts w:ascii="Arial" w:eastAsia="Calibri" w:hAnsi="Arial" w:cs="Arial"/>
          <w:b/>
          <w:spacing w:val="-1"/>
          <w:sz w:val="17"/>
          <w:szCs w:val="17"/>
        </w:rPr>
        <w:t>(Pesos)</w:t>
      </w:r>
    </w:p>
    <w:tbl>
      <w:tblPr>
        <w:tblW w:w="8982" w:type="dxa"/>
        <w:jc w:val="center"/>
        <w:tblCellMar>
          <w:left w:w="70" w:type="dxa"/>
          <w:right w:w="70" w:type="dxa"/>
        </w:tblCellMar>
        <w:tblLook w:val="04A0" w:firstRow="1" w:lastRow="0" w:firstColumn="1" w:lastColumn="0" w:noHBand="0" w:noVBand="1"/>
      </w:tblPr>
      <w:tblGrid>
        <w:gridCol w:w="4743"/>
        <w:gridCol w:w="2091"/>
        <w:gridCol w:w="2148"/>
      </w:tblGrid>
      <w:tr w:rsidR="001A0060" w:rsidRPr="002D70DA" w:rsidTr="00231D41">
        <w:trPr>
          <w:trHeight w:val="480"/>
          <w:jc w:val="center"/>
        </w:trPr>
        <w:tc>
          <w:tcPr>
            <w:tcW w:w="47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A0060" w:rsidRPr="002D70DA" w:rsidRDefault="001A0060" w:rsidP="001A0060">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1" w:type="dxa"/>
            <w:tcBorders>
              <w:top w:val="single" w:sz="4" w:space="0" w:color="auto"/>
              <w:left w:val="nil"/>
              <w:bottom w:val="single" w:sz="4" w:space="0" w:color="auto"/>
              <w:right w:val="single" w:sz="4" w:space="0" w:color="auto"/>
            </w:tcBorders>
            <w:shd w:val="clear" w:color="auto" w:fill="D5DCE4" w:themeFill="text2" w:themeFillTint="33"/>
            <w:vAlign w:val="center"/>
          </w:tcPr>
          <w:p w:rsidR="001A0060" w:rsidRPr="002D70DA" w:rsidRDefault="00FD7D84" w:rsidP="001A0060">
            <w:pPr>
              <w:jc w:val="center"/>
              <w:rPr>
                <w:rFonts w:ascii="Arial" w:hAnsi="Arial" w:cs="Arial"/>
                <w:b/>
                <w:bCs/>
                <w:color w:val="000000"/>
                <w:sz w:val="17"/>
                <w:szCs w:val="17"/>
              </w:rPr>
            </w:pPr>
            <w:r>
              <w:rPr>
                <w:rFonts w:ascii="Arial" w:hAnsi="Arial" w:cs="Arial"/>
                <w:b/>
                <w:bCs/>
                <w:color w:val="000000"/>
                <w:sz w:val="17"/>
                <w:szCs w:val="17"/>
              </w:rPr>
              <w:t>2020</w:t>
            </w:r>
          </w:p>
        </w:tc>
        <w:tc>
          <w:tcPr>
            <w:tcW w:w="214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A0060" w:rsidRPr="002D70DA" w:rsidRDefault="00FD7D84" w:rsidP="001A0060">
            <w:pPr>
              <w:jc w:val="center"/>
              <w:rPr>
                <w:rFonts w:ascii="Arial" w:hAnsi="Arial" w:cs="Arial"/>
                <w:b/>
                <w:bCs/>
                <w:color w:val="000000"/>
                <w:sz w:val="17"/>
                <w:szCs w:val="17"/>
              </w:rPr>
            </w:pPr>
            <w:r>
              <w:rPr>
                <w:rFonts w:ascii="Arial" w:hAnsi="Arial" w:cs="Arial"/>
                <w:b/>
                <w:bCs/>
                <w:color w:val="000000"/>
                <w:sz w:val="17"/>
                <w:szCs w:val="17"/>
              </w:rPr>
              <w:t>2019</w:t>
            </w:r>
          </w:p>
        </w:tc>
      </w:tr>
      <w:tr w:rsidR="00231D41" w:rsidRPr="002D70DA" w:rsidTr="00231D41">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231D41" w:rsidRPr="0030750A" w:rsidRDefault="00231D41" w:rsidP="00231D41">
            <w:pPr>
              <w:rPr>
                <w:rFonts w:ascii="Arial" w:hAnsi="Arial" w:cs="Arial"/>
                <w:sz w:val="17"/>
                <w:szCs w:val="17"/>
              </w:rPr>
            </w:pPr>
            <w:r w:rsidRPr="0030750A">
              <w:rPr>
                <w:rFonts w:ascii="Arial" w:hAnsi="Arial" w:cs="Arial"/>
                <w:sz w:val="17"/>
                <w:szCs w:val="17"/>
              </w:rPr>
              <w:t>Servicios Personales por Pagar a Corto Plazo</w:t>
            </w:r>
          </w:p>
        </w:tc>
        <w:tc>
          <w:tcPr>
            <w:tcW w:w="2091" w:type="dxa"/>
            <w:tcBorders>
              <w:top w:val="single" w:sz="4" w:space="0" w:color="auto"/>
              <w:left w:val="nil"/>
              <w:bottom w:val="single" w:sz="4" w:space="0" w:color="auto"/>
              <w:right w:val="single" w:sz="4" w:space="0" w:color="auto"/>
            </w:tcBorders>
            <w:shd w:val="clear" w:color="auto" w:fill="auto"/>
          </w:tcPr>
          <w:p w:rsidR="00231D41" w:rsidRPr="00231D41" w:rsidRDefault="00231D41" w:rsidP="00231D41">
            <w:pPr>
              <w:jc w:val="right"/>
              <w:rPr>
                <w:rFonts w:ascii="Arial" w:hAnsi="Arial" w:cs="Arial"/>
                <w:sz w:val="17"/>
                <w:szCs w:val="17"/>
              </w:rPr>
            </w:pPr>
            <w:r w:rsidRPr="00231D41">
              <w:rPr>
                <w:rFonts w:ascii="Arial" w:hAnsi="Arial" w:cs="Arial"/>
                <w:sz w:val="17"/>
                <w:szCs w:val="17"/>
              </w:rPr>
              <w:t xml:space="preserve">3,105,361 </w:t>
            </w:r>
          </w:p>
        </w:tc>
        <w:tc>
          <w:tcPr>
            <w:tcW w:w="2148" w:type="dxa"/>
            <w:tcBorders>
              <w:top w:val="nil"/>
              <w:left w:val="single" w:sz="4" w:space="0" w:color="auto"/>
              <w:bottom w:val="single" w:sz="4" w:space="0" w:color="auto"/>
              <w:right w:val="single" w:sz="4" w:space="0" w:color="auto"/>
            </w:tcBorders>
            <w:shd w:val="clear" w:color="auto" w:fill="auto"/>
          </w:tcPr>
          <w:p w:rsidR="00231D41" w:rsidRPr="00231D41" w:rsidRDefault="00231D41" w:rsidP="00231D41">
            <w:pPr>
              <w:jc w:val="right"/>
              <w:rPr>
                <w:rFonts w:ascii="Arial" w:hAnsi="Arial" w:cs="Arial"/>
                <w:sz w:val="17"/>
                <w:szCs w:val="17"/>
              </w:rPr>
            </w:pPr>
            <w:r w:rsidRPr="00231D41">
              <w:rPr>
                <w:rFonts w:ascii="Arial" w:hAnsi="Arial" w:cs="Arial"/>
                <w:sz w:val="17"/>
                <w:szCs w:val="17"/>
              </w:rPr>
              <w:t xml:space="preserve"> 4,432,371 </w:t>
            </w:r>
          </w:p>
        </w:tc>
      </w:tr>
      <w:tr w:rsidR="00231D41" w:rsidRPr="002D70DA" w:rsidTr="00231D41">
        <w:trPr>
          <w:trHeight w:val="240"/>
          <w:jc w:val="center"/>
        </w:trPr>
        <w:tc>
          <w:tcPr>
            <w:tcW w:w="4743" w:type="dxa"/>
            <w:tcBorders>
              <w:top w:val="single" w:sz="4" w:space="0" w:color="auto"/>
              <w:left w:val="single" w:sz="4" w:space="0" w:color="auto"/>
              <w:bottom w:val="single" w:sz="4" w:space="0" w:color="auto"/>
              <w:right w:val="single" w:sz="4" w:space="0" w:color="auto"/>
            </w:tcBorders>
            <w:shd w:val="clear" w:color="auto" w:fill="auto"/>
          </w:tcPr>
          <w:p w:rsidR="00231D41" w:rsidRPr="0030750A" w:rsidRDefault="00231D41" w:rsidP="00231D41">
            <w:pPr>
              <w:rPr>
                <w:rFonts w:ascii="Arial" w:hAnsi="Arial" w:cs="Arial"/>
                <w:sz w:val="17"/>
                <w:szCs w:val="17"/>
              </w:rPr>
            </w:pPr>
            <w:r w:rsidRPr="0030750A">
              <w:rPr>
                <w:rFonts w:ascii="Arial" w:hAnsi="Arial" w:cs="Arial"/>
                <w:sz w:val="17"/>
                <w:szCs w:val="17"/>
              </w:rPr>
              <w:t>Proveedores por Pagar a Corto Plazo</w:t>
            </w:r>
          </w:p>
        </w:tc>
        <w:tc>
          <w:tcPr>
            <w:tcW w:w="2091" w:type="dxa"/>
            <w:tcBorders>
              <w:top w:val="single" w:sz="4" w:space="0" w:color="auto"/>
              <w:left w:val="nil"/>
              <w:bottom w:val="single" w:sz="4" w:space="0" w:color="auto"/>
              <w:right w:val="single" w:sz="4" w:space="0" w:color="auto"/>
            </w:tcBorders>
            <w:shd w:val="clear" w:color="auto" w:fill="auto"/>
          </w:tcPr>
          <w:p w:rsidR="00231D41" w:rsidRPr="00231D41" w:rsidRDefault="00231D41" w:rsidP="00231D41">
            <w:pPr>
              <w:jc w:val="right"/>
              <w:rPr>
                <w:rFonts w:ascii="Arial" w:hAnsi="Arial" w:cs="Arial"/>
                <w:sz w:val="17"/>
                <w:szCs w:val="17"/>
              </w:rPr>
            </w:pPr>
            <w:r w:rsidRPr="00231D41">
              <w:rPr>
                <w:rFonts w:ascii="Arial" w:hAnsi="Arial" w:cs="Arial"/>
                <w:sz w:val="17"/>
                <w:szCs w:val="17"/>
              </w:rPr>
              <w:t xml:space="preserve">30,099,548 </w:t>
            </w:r>
          </w:p>
        </w:tc>
        <w:tc>
          <w:tcPr>
            <w:tcW w:w="2148" w:type="dxa"/>
            <w:tcBorders>
              <w:top w:val="nil"/>
              <w:left w:val="single" w:sz="4" w:space="0" w:color="auto"/>
              <w:bottom w:val="single" w:sz="4" w:space="0" w:color="auto"/>
              <w:right w:val="single" w:sz="4" w:space="0" w:color="auto"/>
            </w:tcBorders>
            <w:shd w:val="clear" w:color="auto" w:fill="auto"/>
          </w:tcPr>
          <w:p w:rsidR="00231D41" w:rsidRPr="00231D41" w:rsidRDefault="00231D41" w:rsidP="00231D41">
            <w:pPr>
              <w:jc w:val="right"/>
              <w:rPr>
                <w:rFonts w:ascii="Arial" w:hAnsi="Arial" w:cs="Arial"/>
                <w:sz w:val="17"/>
                <w:szCs w:val="17"/>
              </w:rPr>
            </w:pPr>
            <w:r w:rsidRPr="00231D41">
              <w:rPr>
                <w:rFonts w:ascii="Arial" w:hAnsi="Arial" w:cs="Arial"/>
                <w:sz w:val="17"/>
                <w:szCs w:val="17"/>
              </w:rPr>
              <w:t xml:space="preserve"> 9,761,797 </w:t>
            </w:r>
          </w:p>
        </w:tc>
      </w:tr>
      <w:tr w:rsidR="00231D41" w:rsidRPr="002D70DA" w:rsidTr="00231D41">
        <w:trPr>
          <w:trHeight w:val="240"/>
          <w:jc w:val="center"/>
        </w:trPr>
        <w:tc>
          <w:tcPr>
            <w:tcW w:w="4743" w:type="dxa"/>
            <w:tcBorders>
              <w:top w:val="single" w:sz="4" w:space="0" w:color="auto"/>
              <w:left w:val="single" w:sz="4" w:space="0" w:color="auto"/>
              <w:bottom w:val="single" w:sz="4" w:space="0" w:color="auto"/>
              <w:right w:val="single" w:sz="4" w:space="0" w:color="auto"/>
            </w:tcBorders>
            <w:shd w:val="clear" w:color="auto" w:fill="auto"/>
          </w:tcPr>
          <w:p w:rsidR="00231D41" w:rsidRPr="0030750A" w:rsidRDefault="00231D41" w:rsidP="00231D41">
            <w:pPr>
              <w:rPr>
                <w:rFonts w:ascii="Arial" w:hAnsi="Arial" w:cs="Arial"/>
                <w:sz w:val="17"/>
                <w:szCs w:val="17"/>
              </w:rPr>
            </w:pPr>
            <w:r w:rsidRPr="0030750A">
              <w:rPr>
                <w:rFonts w:ascii="Arial" w:hAnsi="Arial" w:cs="Arial"/>
                <w:sz w:val="17"/>
                <w:szCs w:val="17"/>
              </w:rPr>
              <w:t>Transferencias Otorgadas por Pagar a Corto Plazo</w:t>
            </w:r>
          </w:p>
        </w:tc>
        <w:tc>
          <w:tcPr>
            <w:tcW w:w="2091" w:type="dxa"/>
            <w:tcBorders>
              <w:top w:val="single" w:sz="4" w:space="0" w:color="auto"/>
              <w:left w:val="nil"/>
              <w:bottom w:val="single" w:sz="4" w:space="0" w:color="auto"/>
              <w:right w:val="single" w:sz="4" w:space="0" w:color="auto"/>
            </w:tcBorders>
            <w:shd w:val="clear" w:color="auto" w:fill="auto"/>
          </w:tcPr>
          <w:p w:rsidR="00231D41" w:rsidRPr="0030750A" w:rsidRDefault="00231D41" w:rsidP="00231D41">
            <w:pPr>
              <w:jc w:val="right"/>
              <w:rPr>
                <w:rFonts w:ascii="Arial" w:hAnsi="Arial" w:cs="Arial"/>
                <w:sz w:val="17"/>
                <w:szCs w:val="17"/>
              </w:rPr>
            </w:pPr>
            <w:r w:rsidRPr="00231D41">
              <w:rPr>
                <w:rFonts w:ascii="Arial" w:hAnsi="Arial" w:cs="Arial"/>
                <w:sz w:val="17"/>
                <w:szCs w:val="17"/>
              </w:rPr>
              <w:t>1,685,164</w:t>
            </w:r>
          </w:p>
        </w:tc>
        <w:tc>
          <w:tcPr>
            <w:tcW w:w="2148" w:type="dxa"/>
            <w:tcBorders>
              <w:top w:val="nil"/>
              <w:left w:val="single" w:sz="4" w:space="0" w:color="auto"/>
              <w:bottom w:val="single" w:sz="4" w:space="0" w:color="auto"/>
              <w:right w:val="single" w:sz="4" w:space="0" w:color="auto"/>
            </w:tcBorders>
            <w:shd w:val="clear" w:color="auto" w:fill="auto"/>
          </w:tcPr>
          <w:p w:rsidR="00231D41" w:rsidRPr="00231D41" w:rsidRDefault="00231D41" w:rsidP="00231D41">
            <w:pPr>
              <w:jc w:val="right"/>
              <w:rPr>
                <w:rFonts w:ascii="Arial" w:hAnsi="Arial" w:cs="Arial"/>
                <w:sz w:val="17"/>
                <w:szCs w:val="17"/>
              </w:rPr>
            </w:pPr>
            <w:r w:rsidRPr="00231D41">
              <w:rPr>
                <w:rFonts w:ascii="Arial" w:hAnsi="Arial" w:cs="Arial"/>
                <w:sz w:val="17"/>
                <w:szCs w:val="17"/>
              </w:rPr>
              <w:t xml:space="preserve"> 714,410 </w:t>
            </w:r>
          </w:p>
        </w:tc>
      </w:tr>
      <w:tr w:rsidR="00231D41" w:rsidRPr="002D70DA" w:rsidTr="00231D41">
        <w:trPr>
          <w:trHeight w:val="240"/>
          <w:jc w:val="center"/>
        </w:trPr>
        <w:tc>
          <w:tcPr>
            <w:tcW w:w="4743" w:type="dxa"/>
            <w:tcBorders>
              <w:top w:val="single" w:sz="4" w:space="0" w:color="auto"/>
              <w:left w:val="single" w:sz="4" w:space="0" w:color="auto"/>
              <w:bottom w:val="single" w:sz="4" w:space="0" w:color="auto"/>
              <w:right w:val="single" w:sz="4" w:space="0" w:color="auto"/>
            </w:tcBorders>
            <w:shd w:val="clear" w:color="auto" w:fill="auto"/>
          </w:tcPr>
          <w:p w:rsidR="00231D41" w:rsidRPr="0030750A" w:rsidRDefault="00231D41" w:rsidP="00231D41">
            <w:pPr>
              <w:rPr>
                <w:rFonts w:ascii="Arial" w:hAnsi="Arial" w:cs="Arial"/>
                <w:sz w:val="17"/>
                <w:szCs w:val="17"/>
              </w:rPr>
            </w:pPr>
            <w:r w:rsidRPr="0030750A">
              <w:rPr>
                <w:rFonts w:ascii="Arial" w:hAnsi="Arial" w:cs="Arial"/>
                <w:sz w:val="17"/>
                <w:szCs w:val="17"/>
              </w:rPr>
              <w:t>Retenciones y Contribuciones por Pagar a Corto Plazo</w:t>
            </w:r>
          </w:p>
        </w:tc>
        <w:tc>
          <w:tcPr>
            <w:tcW w:w="2091" w:type="dxa"/>
            <w:tcBorders>
              <w:top w:val="single" w:sz="4" w:space="0" w:color="auto"/>
              <w:left w:val="nil"/>
              <w:bottom w:val="single" w:sz="4" w:space="0" w:color="auto"/>
              <w:right w:val="single" w:sz="4" w:space="0" w:color="auto"/>
            </w:tcBorders>
            <w:shd w:val="clear" w:color="auto" w:fill="auto"/>
          </w:tcPr>
          <w:p w:rsidR="00231D41" w:rsidRPr="0030750A" w:rsidRDefault="00231D41" w:rsidP="00231D41">
            <w:pPr>
              <w:jc w:val="right"/>
              <w:rPr>
                <w:rFonts w:ascii="Arial" w:hAnsi="Arial" w:cs="Arial"/>
                <w:sz w:val="17"/>
                <w:szCs w:val="17"/>
              </w:rPr>
            </w:pPr>
            <w:r w:rsidRPr="00231D41">
              <w:rPr>
                <w:rFonts w:ascii="Arial" w:hAnsi="Arial" w:cs="Arial"/>
                <w:sz w:val="17"/>
                <w:szCs w:val="17"/>
              </w:rPr>
              <w:t>197,670,334</w:t>
            </w:r>
          </w:p>
        </w:tc>
        <w:tc>
          <w:tcPr>
            <w:tcW w:w="2148" w:type="dxa"/>
            <w:tcBorders>
              <w:top w:val="nil"/>
              <w:left w:val="single" w:sz="4" w:space="0" w:color="auto"/>
              <w:bottom w:val="single" w:sz="4" w:space="0" w:color="auto"/>
              <w:right w:val="single" w:sz="4" w:space="0" w:color="auto"/>
            </w:tcBorders>
            <w:shd w:val="clear" w:color="auto" w:fill="auto"/>
          </w:tcPr>
          <w:p w:rsidR="00231D41" w:rsidRPr="00231D41" w:rsidRDefault="00231D41" w:rsidP="00231D41">
            <w:pPr>
              <w:jc w:val="right"/>
              <w:rPr>
                <w:rFonts w:ascii="Arial" w:hAnsi="Arial" w:cs="Arial"/>
                <w:sz w:val="17"/>
                <w:szCs w:val="17"/>
              </w:rPr>
            </w:pPr>
            <w:r w:rsidRPr="00231D41">
              <w:rPr>
                <w:rFonts w:ascii="Arial" w:hAnsi="Arial" w:cs="Arial"/>
                <w:sz w:val="17"/>
                <w:szCs w:val="17"/>
              </w:rPr>
              <w:t xml:space="preserve"> 88,048,534 </w:t>
            </w:r>
          </w:p>
        </w:tc>
      </w:tr>
      <w:tr w:rsidR="00231D41" w:rsidRPr="002D70DA" w:rsidTr="00231D41">
        <w:trPr>
          <w:trHeight w:val="240"/>
          <w:jc w:val="center"/>
        </w:trPr>
        <w:tc>
          <w:tcPr>
            <w:tcW w:w="4743" w:type="dxa"/>
            <w:tcBorders>
              <w:top w:val="single" w:sz="4" w:space="0" w:color="auto"/>
              <w:left w:val="single" w:sz="4" w:space="0" w:color="auto"/>
              <w:bottom w:val="single" w:sz="4" w:space="0" w:color="auto"/>
              <w:right w:val="single" w:sz="4" w:space="0" w:color="auto"/>
            </w:tcBorders>
            <w:shd w:val="clear" w:color="auto" w:fill="auto"/>
          </w:tcPr>
          <w:p w:rsidR="00231D41" w:rsidRPr="0030750A" w:rsidRDefault="00231D41" w:rsidP="00231D41">
            <w:pPr>
              <w:rPr>
                <w:rFonts w:ascii="Arial" w:hAnsi="Arial" w:cs="Arial"/>
                <w:sz w:val="17"/>
                <w:szCs w:val="17"/>
              </w:rPr>
            </w:pPr>
            <w:r w:rsidRPr="0030750A">
              <w:rPr>
                <w:rFonts w:ascii="Arial" w:hAnsi="Arial" w:cs="Arial"/>
                <w:sz w:val="17"/>
                <w:szCs w:val="17"/>
              </w:rPr>
              <w:t>Devoluciones de la Ley de Ingresos por Pagar a Corto Plazo</w:t>
            </w:r>
          </w:p>
        </w:tc>
        <w:tc>
          <w:tcPr>
            <w:tcW w:w="2091" w:type="dxa"/>
            <w:tcBorders>
              <w:top w:val="single" w:sz="4" w:space="0" w:color="auto"/>
              <w:left w:val="nil"/>
              <w:bottom w:val="single" w:sz="4" w:space="0" w:color="auto"/>
              <w:right w:val="single" w:sz="4" w:space="0" w:color="auto"/>
            </w:tcBorders>
            <w:shd w:val="clear" w:color="auto" w:fill="auto"/>
          </w:tcPr>
          <w:p w:rsidR="00231D41" w:rsidRPr="00231D41" w:rsidRDefault="00231D41" w:rsidP="00231D41">
            <w:pPr>
              <w:jc w:val="right"/>
              <w:rPr>
                <w:rFonts w:ascii="Arial" w:hAnsi="Arial" w:cs="Arial"/>
                <w:sz w:val="17"/>
                <w:szCs w:val="17"/>
              </w:rPr>
            </w:pPr>
            <w:r w:rsidRPr="00231D41">
              <w:rPr>
                <w:rFonts w:ascii="Arial" w:hAnsi="Arial" w:cs="Arial"/>
                <w:sz w:val="17"/>
                <w:szCs w:val="17"/>
              </w:rPr>
              <w:t xml:space="preserve">3,849 </w:t>
            </w:r>
          </w:p>
        </w:tc>
        <w:tc>
          <w:tcPr>
            <w:tcW w:w="2148" w:type="dxa"/>
            <w:tcBorders>
              <w:top w:val="nil"/>
              <w:left w:val="single" w:sz="4" w:space="0" w:color="auto"/>
              <w:bottom w:val="single" w:sz="4" w:space="0" w:color="auto"/>
              <w:right w:val="single" w:sz="4" w:space="0" w:color="auto"/>
            </w:tcBorders>
            <w:shd w:val="clear" w:color="auto" w:fill="auto"/>
          </w:tcPr>
          <w:p w:rsidR="00231D41" w:rsidRPr="00231D41" w:rsidRDefault="00231D41" w:rsidP="00231D41">
            <w:pPr>
              <w:jc w:val="right"/>
              <w:rPr>
                <w:rFonts w:ascii="Arial" w:hAnsi="Arial" w:cs="Arial"/>
                <w:sz w:val="17"/>
                <w:szCs w:val="17"/>
              </w:rPr>
            </w:pPr>
            <w:r>
              <w:rPr>
                <w:rFonts w:ascii="Arial" w:hAnsi="Arial" w:cs="Arial"/>
                <w:sz w:val="17"/>
                <w:szCs w:val="17"/>
              </w:rPr>
              <w:t>0</w:t>
            </w:r>
            <w:r w:rsidRPr="00231D41">
              <w:rPr>
                <w:rFonts w:ascii="Arial" w:hAnsi="Arial" w:cs="Arial"/>
                <w:sz w:val="17"/>
                <w:szCs w:val="17"/>
              </w:rPr>
              <w:t xml:space="preserve">  </w:t>
            </w:r>
          </w:p>
        </w:tc>
      </w:tr>
      <w:tr w:rsidR="00231D41" w:rsidRPr="002D70DA" w:rsidTr="00231D41">
        <w:trPr>
          <w:trHeight w:val="240"/>
          <w:jc w:val="center"/>
        </w:trPr>
        <w:tc>
          <w:tcPr>
            <w:tcW w:w="4743" w:type="dxa"/>
            <w:tcBorders>
              <w:top w:val="single" w:sz="4" w:space="0" w:color="auto"/>
              <w:left w:val="single" w:sz="4" w:space="0" w:color="auto"/>
              <w:bottom w:val="single" w:sz="4" w:space="0" w:color="auto"/>
              <w:right w:val="single" w:sz="4" w:space="0" w:color="auto"/>
            </w:tcBorders>
            <w:shd w:val="clear" w:color="auto" w:fill="auto"/>
          </w:tcPr>
          <w:p w:rsidR="00231D41" w:rsidRPr="0030750A" w:rsidRDefault="00231D41" w:rsidP="00231D41">
            <w:pPr>
              <w:rPr>
                <w:rFonts w:ascii="Arial" w:hAnsi="Arial" w:cs="Arial"/>
                <w:sz w:val="17"/>
                <w:szCs w:val="17"/>
              </w:rPr>
            </w:pPr>
            <w:r w:rsidRPr="0030750A">
              <w:rPr>
                <w:rFonts w:ascii="Arial" w:hAnsi="Arial" w:cs="Arial"/>
                <w:sz w:val="17"/>
                <w:szCs w:val="17"/>
              </w:rPr>
              <w:t>Otras Cuentas por Pagar a Corto Plazo</w:t>
            </w:r>
          </w:p>
        </w:tc>
        <w:tc>
          <w:tcPr>
            <w:tcW w:w="2091" w:type="dxa"/>
            <w:tcBorders>
              <w:top w:val="single" w:sz="4" w:space="0" w:color="auto"/>
              <w:left w:val="nil"/>
              <w:bottom w:val="single" w:sz="4" w:space="0" w:color="auto"/>
              <w:right w:val="single" w:sz="4" w:space="0" w:color="auto"/>
            </w:tcBorders>
            <w:shd w:val="clear" w:color="auto" w:fill="auto"/>
          </w:tcPr>
          <w:p w:rsidR="00231D41" w:rsidRPr="00231D41" w:rsidRDefault="00231D41" w:rsidP="00231D41">
            <w:pPr>
              <w:jc w:val="right"/>
              <w:rPr>
                <w:rFonts w:ascii="Arial" w:hAnsi="Arial" w:cs="Arial"/>
                <w:sz w:val="17"/>
                <w:szCs w:val="17"/>
              </w:rPr>
            </w:pPr>
            <w:r w:rsidRPr="00231D41">
              <w:rPr>
                <w:rFonts w:ascii="Arial" w:hAnsi="Arial" w:cs="Arial"/>
                <w:sz w:val="17"/>
                <w:szCs w:val="17"/>
              </w:rPr>
              <w:t xml:space="preserve">19,601,710 </w:t>
            </w:r>
          </w:p>
        </w:tc>
        <w:tc>
          <w:tcPr>
            <w:tcW w:w="2148" w:type="dxa"/>
            <w:tcBorders>
              <w:top w:val="nil"/>
              <w:left w:val="single" w:sz="4" w:space="0" w:color="auto"/>
              <w:bottom w:val="single" w:sz="4" w:space="0" w:color="auto"/>
              <w:right w:val="single" w:sz="4" w:space="0" w:color="auto"/>
            </w:tcBorders>
            <w:shd w:val="clear" w:color="auto" w:fill="auto"/>
          </w:tcPr>
          <w:p w:rsidR="00231D41" w:rsidRPr="00231D41" w:rsidRDefault="00231D41" w:rsidP="00231D41">
            <w:pPr>
              <w:jc w:val="right"/>
              <w:rPr>
                <w:rFonts w:ascii="Arial" w:hAnsi="Arial" w:cs="Arial"/>
                <w:sz w:val="17"/>
                <w:szCs w:val="17"/>
              </w:rPr>
            </w:pPr>
            <w:r w:rsidRPr="00231D41">
              <w:rPr>
                <w:rFonts w:ascii="Arial" w:hAnsi="Arial" w:cs="Arial"/>
                <w:sz w:val="17"/>
                <w:szCs w:val="17"/>
              </w:rPr>
              <w:t xml:space="preserve"> 2,266,630 </w:t>
            </w:r>
          </w:p>
        </w:tc>
      </w:tr>
      <w:tr w:rsidR="00231D41" w:rsidRPr="002D70DA" w:rsidTr="00231D41">
        <w:trPr>
          <w:trHeight w:val="240"/>
          <w:jc w:val="center"/>
        </w:trPr>
        <w:tc>
          <w:tcPr>
            <w:tcW w:w="4743" w:type="dxa"/>
            <w:tcBorders>
              <w:top w:val="single" w:sz="4" w:space="0" w:color="auto"/>
              <w:right w:val="single" w:sz="4" w:space="0" w:color="auto"/>
            </w:tcBorders>
            <w:shd w:val="clear" w:color="auto" w:fill="auto"/>
            <w:vAlign w:val="center"/>
          </w:tcPr>
          <w:p w:rsidR="00231D41" w:rsidRPr="00F93CE5" w:rsidRDefault="00231D41" w:rsidP="00231D41">
            <w:pPr>
              <w:jc w:val="center"/>
              <w:rPr>
                <w:rFonts w:ascii="Arial" w:hAnsi="Arial" w:cs="Arial"/>
                <w:b/>
                <w:bCs/>
                <w:color w:val="000000"/>
                <w:sz w:val="17"/>
                <w:szCs w:val="17"/>
              </w:rPr>
            </w:pPr>
            <w:r w:rsidRPr="00F93CE5">
              <w:rPr>
                <w:rFonts w:ascii="Arial" w:hAnsi="Arial" w:cs="Arial"/>
                <w:b/>
                <w:bCs/>
                <w:color w:val="000000"/>
                <w:sz w:val="17"/>
                <w:szCs w:val="17"/>
              </w:rPr>
              <w:t>Total</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231D41" w:rsidRPr="00231D41" w:rsidRDefault="00231D41" w:rsidP="00231D41">
            <w:pPr>
              <w:jc w:val="right"/>
              <w:rPr>
                <w:rFonts w:ascii="Arial" w:hAnsi="Arial" w:cs="Arial"/>
                <w:b/>
                <w:sz w:val="17"/>
                <w:szCs w:val="17"/>
              </w:rPr>
            </w:pPr>
            <w:r w:rsidRPr="00231D41">
              <w:rPr>
                <w:rFonts w:ascii="Arial" w:hAnsi="Arial" w:cs="Arial"/>
                <w:b/>
                <w:sz w:val="17"/>
                <w:szCs w:val="17"/>
              </w:rPr>
              <w:t xml:space="preserve">252,165,966 </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231D41" w:rsidRPr="00231D41" w:rsidRDefault="00231D41" w:rsidP="00231D41">
            <w:pPr>
              <w:jc w:val="right"/>
              <w:rPr>
                <w:rFonts w:ascii="Arial" w:hAnsi="Arial" w:cs="Arial"/>
                <w:b/>
                <w:sz w:val="17"/>
                <w:szCs w:val="17"/>
              </w:rPr>
            </w:pPr>
            <w:r w:rsidRPr="00231D41">
              <w:rPr>
                <w:rFonts w:ascii="Arial" w:hAnsi="Arial" w:cs="Arial"/>
                <w:b/>
                <w:sz w:val="17"/>
                <w:szCs w:val="17"/>
              </w:rPr>
              <w:t xml:space="preserve"> 105,223,742 </w:t>
            </w:r>
          </w:p>
        </w:tc>
      </w:tr>
    </w:tbl>
    <w:p w:rsidR="000B6CE6" w:rsidRDefault="000B6CE6">
      <w:pPr>
        <w:rPr>
          <w:rFonts w:ascii="Arial" w:eastAsia="Calibri" w:hAnsi="Arial" w:cs="Arial"/>
          <w:spacing w:val="-1"/>
          <w:sz w:val="17"/>
          <w:szCs w:val="17"/>
        </w:rPr>
      </w:pPr>
    </w:p>
    <w:p w:rsidR="0030750A" w:rsidRDefault="0030750A" w:rsidP="0030750A">
      <w:pPr>
        <w:spacing w:before="80" w:line="250" w:lineRule="exact"/>
        <w:ind w:left="709"/>
        <w:jc w:val="both"/>
        <w:rPr>
          <w:rFonts w:ascii="Arial" w:eastAsia="Calibri" w:hAnsi="Arial" w:cs="Arial"/>
          <w:spacing w:val="-1"/>
          <w:sz w:val="17"/>
          <w:szCs w:val="17"/>
        </w:rPr>
      </w:pPr>
      <w:r w:rsidRPr="00D33839">
        <w:rPr>
          <w:rFonts w:ascii="Arial" w:eastAsia="Calibri" w:hAnsi="Arial" w:cs="Arial"/>
          <w:spacing w:val="-1"/>
          <w:sz w:val="17"/>
          <w:szCs w:val="17"/>
        </w:rPr>
        <w:t xml:space="preserve">El </w:t>
      </w:r>
      <w:r w:rsidR="00156F42">
        <w:rPr>
          <w:rFonts w:ascii="Arial" w:eastAsia="Calibri" w:hAnsi="Arial" w:cs="Arial"/>
          <w:spacing w:val="-1"/>
          <w:sz w:val="17"/>
          <w:szCs w:val="17"/>
        </w:rPr>
        <w:t>in</w:t>
      </w:r>
      <w:r w:rsidRPr="00D33839">
        <w:rPr>
          <w:rFonts w:ascii="Arial" w:eastAsia="Calibri" w:hAnsi="Arial" w:cs="Arial"/>
          <w:spacing w:val="-1"/>
          <w:sz w:val="17"/>
          <w:szCs w:val="17"/>
        </w:rPr>
        <w:t xml:space="preserve">cremento en el saldo corresponde </w:t>
      </w:r>
      <w:r>
        <w:rPr>
          <w:rFonts w:ascii="Arial" w:eastAsia="Calibri" w:hAnsi="Arial" w:cs="Arial"/>
          <w:spacing w:val="-1"/>
          <w:sz w:val="17"/>
          <w:szCs w:val="17"/>
        </w:rPr>
        <w:t xml:space="preserve">principalmente </w:t>
      </w:r>
      <w:r w:rsidR="00156F42">
        <w:rPr>
          <w:rFonts w:ascii="Arial" w:eastAsia="Calibri" w:hAnsi="Arial" w:cs="Arial"/>
          <w:spacing w:val="-1"/>
          <w:sz w:val="17"/>
          <w:szCs w:val="17"/>
        </w:rPr>
        <w:t>al</w:t>
      </w:r>
      <w:r w:rsidRPr="00D33839">
        <w:rPr>
          <w:rFonts w:ascii="Arial" w:eastAsia="Calibri" w:hAnsi="Arial" w:cs="Arial"/>
          <w:spacing w:val="-1"/>
          <w:sz w:val="17"/>
          <w:szCs w:val="17"/>
        </w:rPr>
        <w:t xml:space="preserve"> </w:t>
      </w:r>
      <w:r w:rsidR="00156F42">
        <w:rPr>
          <w:rFonts w:ascii="Arial" w:eastAsia="Calibri" w:hAnsi="Arial" w:cs="Arial"/>
          <w:spacing w:val="-1"/>
          <w:sz w:val="17"/>
          <w:szCs w:val="17"/>
        </w:rPr>
        <w:t>aumento</w:t>
      </w:r>
      <w:r>
        <w:rPr>
          <w:rFonts w:ascii="Arial" w:eastAsia="Calibri" w:hAnsi="Arial" w:cs="Arial"/>
          <w:spacing w:val="-1"/>
          <w:sz w:val="17"/>
          <w:szCs w:val="17"/>
        </w:rPr>
        <w:t xml:space="preserve"> de la cuenta de </w:t>
      </w:r>
      <w:r w:rsidR="00156F42" w:rsidRPr="00156F42">
        <w:rPr>
          <w:rFonts w:ascii="Arial" w:eastAsia="Calibri" w:hAnsi="Arial" w:cs="Arial"/>
          <w:spacing w:val="-1"/>
          <w:sz w:val="17"/>
          <w:szCs w:val="17"/>
        </w:rPr>
        <w:t>Retenciones y Contribuciones por Pagar a Corto Plazo</w:t>
      </w:r>
      <w:r>
        <w:rPr>
          <w:rFonts w:ascii="Arial" w:eastAsia="Calibri" w:hAnsi="Arial" w:cs="Arial"/>
          <w:spacing w:val="-1"/>
          <w:sz w:val="17"/>
          <w:szCs w:val="17"/>
        </w:rPr>
        <w:t xml:space="preserve">, </w:t>
      </w:r>
      <w:r w:rsidRPr="00D33839">
        <w:rPr>
          <w:rFonts w:ascii="Arial" w:eastAsia="Calibri" w:hAnsi="Arial" w:cs="Arial"/>
          <w:spacing w:val="-1"/>
          <w:sz w:val="17"/>
          <w:szCs w:val="17"/>
        </w:rPr>
        <w:t>por parte de</w:t>
      </w:r>
      <w:r>
        <w:rPr>
          <w:rFonts w:ascii="Arial" w:eastAsia="Calibri" w:hAnsi="Arial" w:cs="Arial"/>
          <w:spacing w:val="-1"/>
          <w:sz w:val="17"/>
          <w:szCs w:val="17"/>
        </w:rPr>
        <w:t>l Poder Ejecutivo.</w:t>
      </w:r>
    </w:p>
    <w:p w:rsidR="0030750A" w:rsidRDefault="0030750A">
      <w:pPr>
        <w:rPr>
          <w:rFonts w:ascii="Arial" w:eastAsia="Calibri" w:hAnsi="Arial" w:cs="Arial"/>
          <w:spacing w:val="-1"/>
          <w:sz w:val="17"/>
          <w:szCs w:val="17"/>
        </w:rPr>
      </w:pPr>
    </w:p>
    <w:p w:rsidR="00E707E7" w:rsidRDefault="00E707E7">
      <w:pPr>
        <w:rPr>
          <w:rFonts w:ascii="Arial" w:eastAsia="Calibri" w:hAnsi="Arial" w:cs="Arial"/>
          <w:spacing w:val="-1"/>
          <w:sz w:val="17"/>
          <w:szCs w:val="17"/>
        </w:rPr>
      </w:pPr>
      <w:r>
        <w:rPr>
          <w:rFonts w:ascii="Arial" w:eastAsia="Calibri" w:hAnsi="Arial" w:cs="Arial"/>
          <w:spacing w:val="-1"/>
          <w:sz w:val="17"/>
          <w:szCs w:val="17"/>
        </w:rPr>
        <w:br w:type="page"/>
      </w:r>
    </w:p>
    <w:p w:rsidR="00E85264" w:rsidRDefault="00E85264" w:rsidP="00E85264">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lastRenderedPageBreak/>
        <w:t>La cual está distribuido de la siguiente manera:</w:t>
      </w:r>
    </w:p>
    <w:p w:rsidR="00E85264" w:rsidRPr="002D70DA" w:rsidRDefault="00E85264" w:rsidP="00E85264">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0B4BC8" w:rsidRPr="002D70DA" w:rsidTr="00156F4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B4BC8" w:rsidRPr="002D70DA" w:rsidRDefault="000B4BC8" w:rsidP="00F338A3">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B4BC8"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B4BC8"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2019</w:t>
            </w:r>
          </w:p>
        </w:tc>
      </w:tr>
      <w:tr w:rsidR="00156F42" w:rsidRPr="002D70DA" w:rsidTr="00156F4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56F42" w:rsidRPr="00C34218" w:rsidRDefault="00156F42" w:rsidP="00156F42">
            <w:pPr>
              <w:rPr>
                <w:rFonts w:ascii="Arial" w:hAnsi="Arial" w:cs="Arial"/>
                <w:b/>
                <w:sz w:val="17"/>
                <w:szCs w:val="17"/>
              </w:rPr>
            </w:pPr>
            <w:r w:rsidRPr="00C34218">
              <w:rPr>
                <w:rFonts w:ascii="Arial" w:hAnsi="Arial" w:cs="Arial"/>
                <w:b/>
                <w:sz w:val="17"/>
                <w:szCs w:val="17"/>
              </w:rPr>
              <w:t>Poder Ejecutivo</w:t>
            </w:r>
          </w:p>
        </w:tc>
        <w:tc>
          <w:tcPr>
            <w:tcW w:w="2180" w:type="dxa"/>
            <w:tcBorders>
              <w:top w:val="single" w:sz="4" w:space="0" w:color="auto"/>
              <w:left w:val="nil"/>
              <w:bottom w:val="single" w:sz="4" w:space="0" w:color="auto"/>
              <w:right w:val="single" w:sz="4" w:space="0" w:color="auto"/>
            </w:tcBorders>
            <w:shd w:val="clear" w:color="auto" w:fill="auto"/>
          </w:tcPr>
          <w:p w:rsidR="00156F42" w:rsidRPr="00156F42" w:rsidRDefault="00156F42" w:rsidP="00156F42">
            <w:pPr>
              <w:jc w:val="right"/>
              <w:rPr>
                <w:rFonts w:ascii="Arial" w:hAnsi="Arial" w:cs="Arial"/>
                <w:b/>
                <w:sz w:val="17"/>
                <w:szCs w:val="17"/>
              </w:rPr>
            </w:pPr>
            <w:r w:rsidRPr="00156F42">
              <w:rPr>
                <w:rFonts w:ascii="Arial" w:hAnsi="Arial" w:cs="Arial"/>
                <w:b/>
                <w:sz w:val="17"/>
                <w:szCs w:val="17"/>
              </w:rPr>
              <w:t xml:space="preserve">160,920,642 </w:t>
            </w:r>
          </w:p>
        </w:tc>
        <w:tc>
          <w:tcPr>
            <w:tcW w:w="2180" w:type="dxa"/>
            <w:tcBorders>
              <w:top w:val="single" w:sz="4" w:space="0" w:color="auto"/>
              <w:left w:val="nil"/>
              <w:bottom w:val="single" w:sz="4" w:space="0" w:color="auto"/>
              <w:right w:val="single" w:sz="4" w:space="0" w:color="auto"/>
            </w:tcBorders>
            <w:shd w:val="clear" w:color="auto" w:fill="auto"/>
          </w:tcPr>
          <w:p w:rsidR="00156F42" w:rsidRPr="00156F42" w:rsidRDefault="00156F42" w:rsidP="00156F42">
            <w:pPr>
              <w:jc w:val="right"/>
              <w:rPr>
                <w:rFonts w:ascii="Arial" w:hAnsi="Arial" w:cs="Arial"/>
                <w:b/>
                <w:sz w:val="17"/>
                <w:szCs w:val="17"/>
              </w:rPr>
            </w:pPr>
            <w:r w:rsidRPr="00156F42">
              <w:rPr>
                <w:rFonts w:ascii="Arial" w:hAnsi="Arial" w:cs="Arial"/>
                <w:b/>
                <w:sz w:val="17"/>
                <w:szCs w:val="17"/>
              </w:rPr>
              <w:t xml:space="preserve">65,118,067 </w:t>
            </w:r>
          </w:p>
        </w:tc>
      </w:tr>
      <w:tr w:rsidR="00156F42" w:rsidRPr="002D70DA" w:rsidTr="00156F4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56F42" w:rsidRPr="00C34218" w:rsidRDefault="00156F42" w:rsidP="00156F42">
            <w:pPr>
              <w:rPr>
                <w:rFonts w:ascii="Arial" w:hAnsi="Arial" w:cs="Arial"/>
                <w:b/>
                <w:sz w:val="17"/>
                <w:szCs w:val="17"/>
              </w:rPr>
            </w:pPr>
            <w:r w:rsidRPr="00C34218">
              <w:rPr>
                <w:rFonts w:ascii="Arial" w:hAnsi="Arial" w:cs="Arial"/>
                <w:b/>
                <w:sz w:val="17"/>
                <w:szCs w:val="17"/>
              </w:rPr>
              <w:t>Poder Judicial</w:t>
            </w:r>
          </w:p>
        </w:tc>
        <w:tc>
          <w:tcPr>
            <w:tcW w:w="2180" w:type="dxa"/>
            <w:tcBorders>
              <w:top w:val="single" w:sz="4" w:space="0" w:color="auto"/>
              <w:left w:val="nil"/>
              <w:bottom w:val="single" w:sz="4" w:space="0" w:color="auto"/>
              <w:right w:val="single" w:sz="4" w:space="0" w:color="auto"/>
            </w:tcBorders>
            <w:shd w:val="clear" w:color="auto" w:fill="auto"/>
          </w:tcPr>
          <w:p w:rsidR="00156F42" w:rsidRPr="00156F42" w:rsidRDefault="00156F42" w:rsidP="00156F42">
            <w:pPr>
              <w:jc w:val="right"/>
              <w:rPr>
                <w:rFonts w:ascii="Arial" w:hAnsi="Arial" w:cs="Arial"/>
                <w:b/>
                <w:sz w:val="17"/>
                <w:szCs w:val="17"/>
              </w:rPr>
            </w:pPr>
            <w:r w:rsidRPr="00156F42">
              <w:rPr>
                <w:rFonts w:ascii="Arial" w:hAnsi="Arial" w:cs="Arial"/>
                <w:b/>
                <w:sz w:val="17"/>
                <w:szCs w:val="17"/>
              </w:rPr>
              <w:t xml:space="preserve">444,734 </w:t>
            </w:r>
          </w:p>
        </w:tc>
        <w:tc>
          <w:tcPr>
            <w:tcW w:w="2180" w:type="dxa"/>
            <w:tcBorders>
              <w:top w:val="single" w:sz="4" w:space="0" w:color="auto"/>
              <w:left w:val="nil"/>
              <w:bottom w:val="single" w:sz="4" w:space="0" w:color="auto"/>
              <w:right w:val="single" w:sz="4" w:space="0" w:color="auto"/>
            </w:tcBorders>
            <w:shd w:val="clear" w:color="auto" w:fill="auto"/>
          </w:tcPr>
          <w:p w:rsidR="00156F42" w:rsidRPr="00156F42" w:rsidRDefault="00156F42" w:rsidP="00156F42">
            <w:pPr>
              <w:jc w:val="right"/>
              <w:rPr>
                <w:rFonts w:ascii="Arial" w:hAnsi="Arial" w:cs="Arial"/>
                <w:b/>
                <w:sz w:val="17"/>
                <w:szCs w:val="17"/>
              </w:rPr>
            </w:pPr>
            <w:r w:rsidRPr="00156F42">
              <w:rPr>
                <w:rFonts w:ascii="Arial" w:hAnsi="Arial" w:cs="Arial"/>
                <w:b/>
                <w:sz w:val="17"/>
                <w:szCs w:val="17"/>
              </w:rPr>
              <w:t xml:space="preserve">417,308 </w:t>
            </w:r>
          </w:p>
        </w:tc>
      </w:tr>
      <w:tr w:rsidR="00156F42" w:rsidRPr="002D70DA" w:rsidTr="00156F4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56F42" w:rsidRPr="00C34218" w:rsidRDefault="00156F42" w:rsidP="00156F42">
            <w:pPr>
              <w:rPr>
                <w:rFonts w:ascii="Arial" w:hAnsi="Arial" w:cs="Arial"/>
                <w:b/>
                <w:sz w:val="17"/>
                <w:szCs w:val="17"/>
              </w:rPr>
            </w:pPr>
            <w:r w:rsidRPr="00C34218">
              <w:rPr>
                <w:rFonts w:ascii="Arial" w:hAnsi="Arial" w:cs="Arial"/>
                <w:b/>
                <w:sz w:val="17"/>
                <w:szCs w:val="17"/>
              </w:rPr>
              <w:t>Poder Legislativo</w:t>
            </w:r>
          </w:p>
        </w:tc>
        <w:tc>
          <w:tcPr>
            <w:tcW w:w="2180" w:type="dxa"/>
            <w:tcBorders>
              <w:top w:val="single" w:sz="4" w:space="0" w:color="auto"/>
              <w:left w:val="nil"/>
              <w:bottom w:val="single" w:sz="4" w:space="0" w:color="auto"/>
              <w:right w:val="single" w:sz="4" w:space="0" w:color="auto"/>
            </w:tcBorders>
            <w:shd w:val="clear" w:color="auto" w:fill="auto"/>
          </w:tcPr>
          <w:p w:rsidR="00156F42" w:rsidRPr="00156F42" w:rsidRDefault="00156F42" w:rsidP="00156F42">
            <w:pPr>
              <w:jc w:val="right"/>
              <w:rPr>
                <w:rFonts w:ascii="Arial" w:hAnsi="Arial" w:cs="Arial"/>
                <w:b/>
                <w:sz w:val="17"/>
                <w:szCs w:val="17"/>
              </w:rPr>
            </w:pPr>
            <w:r w:rsidRPr="00156F42">
              <w:rPr>
                <w:rFonts w:ascii="Arial" w:hAnsi="Arial" w:cs="Arial"/>
                <w:b/>
                <w:sz w:val="17"/>
                <w:szCs w:val="17"/>
              </w:rPr>
              <w:t xml:space="preserve">4,142,360 </w:t>
            </w:r>
          </w:p>
        </w:tc>
        <w:tc>
          <w:tcPr>
            <w:tcW w:w="2180" w:type="dxa"/>
            <w:tcBorders>
              <w:top w:val="single" w:sz="4" w:space="0" w:color="auto"/>
              <w:left w:val="nil"/>
              <w:bottom w:val="single" w:sz="4" w:space="0" w:color="auto"/>
              <w:right w:val="single" w:sz="4" w:space="0" w:color="auto"/>
            </w:tcBorders>
            <w:shd w:val="clear" w:color="auto" w:fill="auto"/>
          </w:tcPr>
          <w:p w:rsidR="00156F42" w:rsidRPr="00156F42" w:rsidRDefault="00156F42" w:rsidP="00156F42">
            <w:pPr>
              <w:jc w:val="right"/>
              <w:rPr>
                <w:rFonts w:ascii="Arial" w:hAnsi="Arial" w:cs="Arial"/>
                <w:b/>
                <w:sz w:val="17"/>
                <w:szCs w:val="17"/>
              </w:rPr>
            </w:pPr>
            <w:r w:rsidRPr="00156F42">
              <w:rPr>
                <w:rFonts w:ascii="Arial" w:hAnsi="Arial" w:cs="Arial"/>
                <w:b/>
                <w:sz w:val="17"/>
                <w:szCs w:val="17"/>
              </w:rPr>
              <w:t xml:space="preserve">4,705,546 </w:t>
            </w:r>
          </w:p>
        </w:tc>
      </w:tr>
      <w:tr w:rsidR="00156F42" w:rsidRPr="002D70DA" w:rsidTr="00156F4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56F42" w:rsidRPr="00C34218" w:rsidRDefault="00156F42" w:rsidP="00156F42">
            <w:pPr>
              <w:rPr>
                <w:rFonts w:ascii="Arial" w:hAnsi="Arial" w:cs="Arial"/>
                <w:b/>
                <w:sz w:val="17"/>
                <w:szCs w:val="17"/>
              </w:rPr>
            </w:pPr>
            <w:r w:rsidRPr="00C34218">
              <w:rPr>
                <w:rFonts w:ascii="Arial" w:hAnsi="Arial" w:cs="Arial"/>
                <w:b/>
                <w:sz w:val="17"/>
                <w:szCs w:val="17"/>
              </w:rPr>
              <w:t>Órganos Autónomos</w:t>
            </w:r>
          </w:p>
        </w:tc>
        <w:tc>
          <w:tcPr>
            <w:tcW w:w="2180" w:type="dxa"/>
            <w:tcBorders>
              <w:top w:val="single" w:sz="4" w:space="0" w:color="auto"/>
              <w:left w:val="nil"/>
              <w:bottom w:val="single" w:sz="4" w:space="0" w:color="auto"/>
              <w:right w:val="single" w:sz="4" w:space="0" w:color="auto"/>
            </w:tcBorders>
            <w:shd w:val="clear" w:color="auto" w:fill="auto"/>
          </w:tcPr>
          <w:p w:rsidR="00156F42" w:rsidRPr="00156F42" w:rsidRDefault="00156F42" w:rsidP="00156F42">
            <w:pPr>
              <w:jc w:val="right"/>
              <w:rPr>
                <w:rFonts w:ascii="Arial" w:hAnsi="Arial" w:cs="Arial"/>
                <w:b/>
                <w:sz w:val="17"/>
                <w:szCs w:val="17"/>
              </w:rPr>
            </w:pPr>
            <w:r w:rsidRPr="00156F42">
              <w:rPr>
                <w:rFonts w:ascii="Arial" w:hAnsi="Arial" w:cs="Arial"/>
                <w:b/>
                <w:sz w:val="17"/>
                <w:szCs w:val="17"/>
              </w:rPr>
              <w:t xml:space="preserve">86,658,230 </w:t>
            </w:r>
          </w:p>
        </w:tc>
        <w:tc>
          <w:tcPr>
            <w:tcW w:w="2180" w:type="dxa"/>
            <w:tcBorders>
              <w:top w:val="single" w:sz="4" w:space="0" w:color="auto"/>
              <w:left w:val="nil"/>
              <w:bottom w:val="single" w:sz="4" w:space="0" w:color="auto"/>
              <w:right w:val="single" w:sz="4" w:space="0" w:color="auto"/>
            </w:tcBorders>
            <w:shd w:val="clear" w:color="auto" w:fill="auto"/>
          </w:tcPr>
          <w:p w:rsidR="00156F42" w:rsidRPr="00156F42" w:rsidRDefault="00156F42" w:rsidP="00156F42">
            <w:pPr>
              <w:jc w:val="right"/>
              <w:rPr>
                <w:rFonts w:ascii="Arial" w:hAnsi="Arial" w:cs="Arial"/>
                <w:b/>
                <w:sz w:val="17"/>
                <w:szCs w:val="17"/>
              </w:rPr>
            </w:pPr>
            <w:r w:rsidRPr="00156F42">
              <w:rPr>
                <w:rFonts w:ascii="Arial" w:hAnsi="Arial" w:cs="Arial"/>
                <w:b/>
                <w:sz w:val="17"/>
                <w:szCs w:val="17"/>
              </w:rPr>
              <w:t xml:space="preserve">34,982,821 </w:t>
            </w:r>
          </w:p>
        </w:tc>
      </w:tr>
      <w:tr w:rsidR="00156F42" w:rsidRPr="002D70DA" w:rsidTr="00156F4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56F42" w:rsidRPr="00C34218" w:rsidRDefault="00156F42" w:rsidP="00156F42">
            <w:pPr>
              <w:ind w:left="497"/>
              <w:rPr>
                <w:rFonts w:ascii="Arial" w:hAnsi="Arial" w:cs="Arial"/>
                <w:sz w:val="17"/>
                <w:szCs w:val="17"/>
              </w:rPr>
            </w:pPr>
            <w:r w:rsidRPr="00C34218">
              <w:rPr>
                <w:rFonts w:ascii="Arial" w:hAnsi="Arial" w:cs="Arial"/>
                <w:sz w:val="17"/>
                <w:szCs w:val="17"/>
              </w:rPr>
              <w:t>Comisión de Transparencia y Acceso a la</w:t>
            </w:r>
          </w:p>
          <w:p w:rsidR="00156F42" w:rsidRPr="00560A6D" w:rsidRDefault="00156F42" w:rsidP="00156F42">
            <w:pPr>
              <w:ind w:left="497"/>
              <w:rPr>
                <w:rFonts w:ascii="Arial" w:hAnsi="Arial" w:cs="Arial"/>
                <w:sz w:val="17"/>
                <w:szCs w:val="17"/>
              </w:rPr>
            </w:pPr>
            <w:r w:rsidRPr="00C34218">
              <w:rPr>
                <w:rFonts w:ascii="Arial" w:hAnsi="Arial" w:cs="Arial"/>
                <w:sz w:val="17"/>
                <w:szCs w:val="17"/>
              </w:rPr>
              <w:t>Información Pública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156F42" w:rsidRPr="00156F42" w:rsidRDefault="00156F42" w:rsidP="00156F42">
            <w:pPr>
              <w:jc w:val="right"/>
              <w:rPr>
                <w:rFonts w:ascii="Arial" w:hAnsi="Arial" w:cs="Arial"/>
                <w:sz w:val="17"/>
                <w:szCs w:val="17"/>
              </w:rPr>
            </w:pPr>
            <w:r w:rsidRPr="00156F42">
              <w:rPr>
                <w:rFonts w:ascii="Arial" w:hAnsi="Arial" w:cs="Arial"/>
                <w:sz w:val="17"/>
                <w:szCs w:val="17"/>
              </w:rPr>
              <w:t xml:space="preserve">1,264,201 </w:t>
            </w:r>
          </w:p>
        </w:tc>
        <w:tc>
          <w:tcPr>
            <w:tcW w:w="2180" w:type="dxa"/>
            <w:tcBorders>
              <w:top w:val="single" w:sz="4" w:space="0" w:color="auto"/>
              <w:left w:val="nil"/>
              <w:bottom w:val="single" w:sz="4" w:space="0" w:color="auto"/>
              <w:right w:val="single" w:sz="4" w:space="0" w:color="auto"/>
            </w:tcBorders>
            <w:shd w:val="clear" w:color="auto" w:fill="auto"/>
          </w:tcPr>
          <w:p w:rsidR="00156F42" w:rsidRPr="00156F42" w:rsidRDefault="00156F42" w:rsidP="00156F42">
            <w:pPr>
              <w:jc w:val="right"/>
              <w:rPr>
                <w:rFonts w:ascii="Arial" w:hAnsi="Arial" w:cs="Arial"/>
                <w:sz w:val="17"/>
                <w:szCs w:val="17"/>
              </w:rPr>
            </w:pPr>
            <w:r w:rsidRPr="00156F42">
              <w:rPr>
                <w:rFonts w:ascii="Arial" w:hAnsi="Arial" w:cs="Arial"/>
                <w:sz w:val="17"/>
                <w:szCs w:val="17"/>
              </w:rPr>
              <w:t xml:space="preserve">420,807 </w:t>
            </w:r>
          </w:p>
        </w:tc>
      </w:tr>
      <w:tr w:rsidR="00156F42" w:rsidRPr="002D70DA" w:rsidTr="00156F4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56F42" w:rsidRPr="00560A6D" w:rsidRDefault="00156F42" w:rsidP="00156F42">
            <w:pPr>
              <w:ind w:left="497"/>
              <w:rPr>
                <w:rFonts w:ascii="Arial" w:hAnsi="Arial" w:cs="Arial"/>
                <w:sz w:val="17"/>
                <w:szCs w:val="17"/>
              </w:rPr>
            </w:pPr>
            <w:r w:rsidRPr="00C34218">
              <w:rPr>
                <w:rFonts w:ascii="Arial" w:hAnsi="Arial" w:cs="Arial"/>
                <w:sz w:val="17"/>
                <w:szCs w:val="17"/>
              </w:rPr>
              <w:t>Defensoría de los Derechos Humanos de Querétaro</w:t>
            </w:r>
          </w:p>
        </w:tc>
        <w:tc>
          <w:tcPr>
            <w:tcW w:w="2180" w:type="dxa"/>
            <w:tcBorders>
              <w:top w:val="single" w:sz="4" w:space="0" w:color="auto"/>
              <w:left w:val="nil"/>
              <w:bottom w:val="single" w:sz="4" w:space="0" w:color="auto"/>
              <w:right w:val="single" w:sz="4" w:space="0" w:color="auto"/>
            </w:tcBorders>
            <w:shd w:val="clear" w:color="auto" w:fill="auto"/>
          </w:tcPr>
          <w:p w:rsidR="00156F42" w:rsidRPr="00156F42" w:rsidRDefault="00156F42" w:rsidP="00156F42">
            <w:pPr>
              <w:jc w:val="right"/>
              <w:rPr>
                <w:rFonts w:ascii="Arial" w:hAnsi="Arial" w:cs="Arial"/>
                <w:sz w:val="17"/>
                <w:szCs w:val="17"/>
              </w:rPr>
            </w:pPr>
            <w:r w:rsidRPr="00156F42">
              <w:rPr>
                <w:rFonts w:ascii="Arial" w:hAnsi="Arial" w:cs="Arial"/>
                <w:sz w:val="17"/>
                <w:szCs w:val="17"/>
              </w:rPr>
              <w:t xml:space="preserve">2,345,585 </w:t>
            </w:r>
          </w:p>
        </w:tc>
        <w:tc>
          <w:tcPr>
            <w:tcW w:w="2180" w:type="dxa"/>
            <w:tcBorders>
              <w:top w:val="single" w:sz="4" w:space="0" w:color="auto"/>
              <w:left w:val="nil"/>
              <w:bottom w:val="single" w:sz="4" w:space="0" w:color="auto"/>
              <w:right w:val="single" w:sz="4" w:space="0" w:color="auto"/>
            </w:tcBorders>
            <w:shd w:val="clear" w:color="auto" w:fill="auto"/>
          </w:tcPr>
          <w:p w:rsidR="00156F42" w:rsidRPr="00156F42" w:rsidRDefault="00156F42" w:rsidP="00156F42">
            <w:pPr>
              <w:jc w:val="right"/>
              <w:rPr>
                <w:rFonts w:ascii="Arial" w:hAnsi="Arial" w:cs="Arial"/>
                <w:sz w:val="17"/>
                <w:szCs w:val="17"/>
              </w:rPr>
            </w:pPr>
            <w:r w:rsidRPr="00156F42">
              <w:rPr>
                <w:rFonts w:ascii="Arial" w:hAnsi="Arial" w:cs="Arial"/>
                <w:sz w:val="17"/>
                <w:szCs w:val="17"/>
              </w:rPr>
              <w:t xml:space="preserve">1,328,913 </w:t>
            </w:r>
          </w:p>
        </w:tc>
      </w:tr>
      <w:tr w:rsidR="00156F42" w:rsidRPr="002D70DA" w:rsidTr="00156F4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56F42" w:rsidRPr="00C34218" w:rsidRDefault="00156F42" w:rsidP="00156F42">
            <w:pPr>
              <w:ind w:left="497"/>
              <w:rPr>
                <w:rFonts w:ascii="Arial" w:hAnsi="Arial" w:cs="Arial"/>
                <w:sz w:val="17"/>
                <w:szCs w:val="17"/>
              </w:rPr>
            </w:pPr>
            <w:r w:rsidRPr="00C34218">
              <w:rPr>
                <w:rFonts w:ascii="Arial" w:hAnsi="Arial" w:cs="Arial"/>
                <w:sz w:val="17"/>
                <w:szCs w:val="17"/>
              </w:rPr>
              <w:t>Entidad Superior de Fiscalización del Estado de</w:t>
            </w:r>
          </w:p>
          <w:p w:rsidR="00156F42" w:rsidRPr="00C34218" w:rsidRDefault="00156F42" w:rsidP="00156F42">
            <w:pPr>
              <w:ind w:left="497"/>
              <w:rPr>
                <w:rFonts w:ascii="Arial" w:hAnsi="Arial" w:cs="Arial"/>
                <w:sz w:val="17"/>
                <w:szCs w:val="17"/>
              </w:rPr>
            </w:pPr>
            <w:r w:rsidRPr="00C34218">
              <w:rPr>
                <w:rFonts w:ascii="Arial" w:hAnsi="Arial" w:cs="Arial"/>
                <w:sz w:val="17"/>
                <w:szCs w:val="17"/>
              </w:rPr>
              <w:t>Querétaro</w:t>
            </w:r>
          </w:p>
        </w:tc>
        <w:tc>
          <w:tcPr>
            <w:tcW w:w="2180" w:type="dxa"/>
            <w:tcBorders>
              <w:top w:val="single" w:sz="4" w:space="0" w:color="auto"/>
              <w:left w:val="nil"/>
              <w:bottom w:val="single" w:sz="4" w:space="0" w:color="auto"/>
              <w:right w:val="single" w:sz="4" w:space="0" w:color="auto"/>
            </w:tcBorders>
            <w:shd w:val="clear" w:color="auto" w:fill="auto"/>
          </w:tcPr>
          <w:p w:rsidR="00156F42" w:rsidRPr="00156F42" w:rsidRDefault="00156F42" w:rsidP="00156F42">
            <w:pPr>
              <w:jc w:val="right"/>
              <w:rPr>
                <w:rFonts w:ascii="Arial" w:hAnsi="Arial" w:cs="Arial"/>
                <w:sz w:val="17"/>
                <w:szCs w:val="17"/>
              </w:rPr>
            </w:pPr>
            <w:r w:rsidRPr="00156F42">
              <w:rPr>
                <w:rFonts w:ascii="Arial" w:hAnsi="Arial" w:cs="Arial"/>
                <w:sz w:val="17"/>
                <w:szCs w:val="17"/>
              </w:rPr>
              <w:t xml:space="preserve">3,818,103 </w:t>
            </w:r>
          </w:p>
        </w:tc>
        <w:tc>
          <w:tcPr>
            <w:tcW w:w="2180" w:type="dxa"/>
            <w:tcBorders>
              <w:top w:val="single" w:sz="4" w:space="0" w:color="auto"/>
              <w:left w:val="nil"/>
              <w:bottom w:val="single" w:sz="4" w:space="0" w:color="auto"/>
              <w:right w:val="single" w:sz="4" w:space="0" w:color="auto"/>
            </w:tcBorders>
            <w:shd w:val="clear" w:color="auto" w:fill="auto"/>
          </w:tcPr>
          <w:p w:rsidR="00156F42" w:rsidRPr="00156F42" w:rsidRDefault="00156F42" w:rsidP="00156F42">
            <w:pPr>
              <w:jc w:val="right"/>
              <w:rPr>
                <w:rFonts w:ascii="Arial" w:hAnsi="Arial" w:cs="Arial"/>
                <w:sz w:val="17"/>
                <w:szCs w:val="17"/>
              </w:rPr>
            </w:pPr>
            <w:r w:rsidRPr="00156F42">
              <w:rPr>
                <w:rFonts w:ascii="Arial" w:hAnsi="Arial" w:cs="Arial"/>
                <w:sz w:val="17"/>
                <w:szCs w:val="17"/>
              </w:rPr>
              <w:t xml:space="preserve">3,701,764 </w:t>
            </w:r>
          </w:p>
        </w:tc>
      </w:tr>
      <w:tr w:rsidR="00156F42" w:rsidRPr="002D70DA" w:rsidTr="00156F4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56F42" w:rsidRPr="00C34218" w:rsidRDefault="00156F42" w:rsidP="00156F42">
            <w:pPr>
              <w:ind w:left="497"/>
              <w:rPr>
                <w:rFonts w:ascii="Arial" w:hAnsi="Arial" w:cs="Arial"/>
                <w:sz w:val="17"/>
                <w:szCs w:val="17"/>
              </w:rPr>
            </w:pPr>
            <w:r w:rsidRPr="00C34218">
              <w:rPr>
                <w:rFonts w:ascii="Arial" w:hAnsi="Arial" w:cs="Arial"/>
                <w:sz w:val="17"/>
                <w:szCs w:val="17"/>
              </w:rPr>
              <w:t>Fiscalía General del Estado</w:t>
            </w:r>
          </w:p>
        </w:tc>
        <w:tc>
          <w:tcPr>
            <w:tcW w:w="2180" w:type="dxa"/>
            <w:tcBorders>
              <w:top w:val="single" w:sz="4" w:space="0" w:color="auto"/>
              <w:left w:val="nil"/>
              <w:bottom w:val="single" w:sz="4" w:space="0" w:color="auto"/>
              <w:right w:val="single" w:sz="4" w:space="0" w:color="auto"/>
            </w:tcBorders>
            <w:shd w:val="clear" w:color="auto" w:fill="auto"/>
          </w:tcPr>
          <w:p w:rsidR="00156F42" w:rsidRPr="00156F42" w:rsidRDefault="00156F42" w:rsidP="00156F42">
            <w:pPr>
              <w:jc w:val="right"/>
              <w:rPr>
                <w:rFonts w:ascii="Arial" w:hAnsi="Arial" w:cs="Arial"/>
                <w:sz w:val="17"/>
                <w:szCs w:val="17"/>
              </w:rPr>
            </w:pPr>
            <w:r w:rsidRPr="00156F42">
              <w:rPr>
                <w:rFonts w:ascii="Arial" w:hAnsi="Arial" w:cs="Arial"/>
                <w:sz w:val="17"/>
                <w:szCs w:val="17"/>
              </w:rPr>
              <w:t xml:space="preserve">68,992,137 </w:t>
            </w:r>
          </w:p>
        </w:tc>
        <w:tc>
          <w:tcPr>
            <w:tcW w:w="2180" w:type="dxa"/>
            <w:tcBorders>
              <w:top w:val="single" w:sz="4" w:space="0" w:color="auto"/>
              <w:left w:val="nil"/>
              <w:bottom w:val="single" w:sz="4" w:space="0" w:color="auto"/>
              <w:right w:val="single" w:sz="4" w:space="0" w:color="auto"/>
            </w:tcBorders>
            <w:shd w:val="clear" w:color="auto" w:fill="auto"/>
          </w:tcPr>
          <w:p w:rsidR="00156F42" w:rsidRPr="00156F42" w:rsidRDefault="00156F42" w:rsidP="00156F42">
            <w:pPr>
              <w:jc w:val="right"/>
              <w:rPr>
                <w:rFonts w:ascii="Arial" w:hAnsi="Arial" w:cs="Arial"/>
                <w:sz w:val="17"/>
                <w:szCs w:val="17"/>
              </w:rPr>
            </w:pPr>
            <w:r w:rsidRPr="00156F42">
              <w:rPr>
                <w:rFonts w:ascii="Arial" w:hAnsi="Arial" w:cs="Arial"/>
                <w:sz w:val="17"/>
                <w:szCs w:val="17"/>
              </w:rPr>
              <w:t xml:space="preserve">23,397,039 </w:t>
            </w:r>
          </w:p>
        </w:tc>
      </w:tr>
      <w:tr w:rsidR="00156F42" w:rsidRPr="002D70DA" w:rsidTr="00156F4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56F42" w:rsidRPr="00560A6D" w:rsidRDefault="00156F42" w:rsidP="00156F42">
            <w:pPr>
              <w:ind w:left="497"/>
              <w:rPr>
                <w:rFonts w:ascii="Arial" w:hAnsi="Arial" w:cs="Arial"/>
                <w:sz w:val="17"/>
                <w:szCs w:val="17"/>
              </w:rPr>
            </w:pPr>
            <w:r w:rsidRPr="00C34218">
              <w:rPr>
                <w:rFonts w:ascii="Arial" w:hAnsi="Arial" w:cs="Arial"/>
                <w:sz w:val="17"/>
                <w:szCs w:val="17"/>
              </w:rPr>
              <w:t>Instituto Electoral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156F42" w:rsidRPr="00156F42" w:rsidRDefault="00156F42" w:rsidP="00156F42">
            <w:pPr>
              <w:jc w:val="right"/>
              <w:rPr>
                <w:rFonts w:ascii="Arial" w:hAnsi="Arial" w:cs="Arial"/>
                <w:sz w:val="17"/>
                <w:szCs w:val="17"/>
              </w:rPr>
            </w:pPr>
            <w:r w:rsidRPr="00156F42">
              <w:rPr>
                <w:rFonts w:ascii="Arial" w:hAnsi="Arial" w:cs="Arial"/>
                <w:sz w:val="17"/>
                <w:szCs w:val="17"/>
              </w:rPr>
              <w:t xml:space="preserve">7,610,722 </w:t>
            </w:r>
          </w:p>
        </w:tc>
        <w:tc>
          <w:tcPr>
            <w:tcW w:w="2180" w:type="dxa"/>
            <w:tcBorders>
              <w:top w:val="single" w:sz="4" w:space="0" w:color="auto"/>
              <w:left w:val="nil"/>
              <w:bottom w:val="single" w:sz="4" w:space="0" w:color="auto"/>
              <w:right w:val="single" w:sz="4" w:space="0" w:color="auto"/>
            </w:tcBorders>
            <w:shd w:val="clear" w:color="auto" w:fill="auto"/>
          </w:tcPr>
          <w:p w:rsidR="00156F42" w:rsidRPr="00156F42" w:rsidRDefault="00156F42" w:rsidP="00156F42">
            <w:pPr>
              <w:jc w:val="right"/>
              <w:rPr>
                <w:rFonts w:ascii="Arial" w:hAnsi="Arial" w:cs="Arial"/>
                <w:sz w:val="17"/>
                <w:szCs w:val="17"/>
              </w:rPr>
            </w:pPr>
            <w:r w:rsidRPr="00156F42">
              <w:rPr>
                <w:rFonts w:ascii="Arial" w:hAnsi="Arial" w:cs="Arial"/>
                <w:sz w:val="17"/>
                <w:szCs w:val="17"/>
              </w:rPr>
              <w:t xml:space="preserve">4,166,237 </w:t>
            </w:r>
          </w:p>
        </w:tc>
      </w:tr>
      <w:tr w:rsidR="00156F42" w:rsidRPr="002D70DA" w:rsidTr="00156F4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56F42" w:rsidRPr="00C34218" w:rsidRDefault="00156F42" w:rsidP="00156F42">
            <w:pPr>
              <w:ind w:left="497"/>
              <w:rPr>
                <w:rFonts w:ascii="Arial" w:hAnsi="Arial" w:cs="Arial"/>
                <w:sz w:val="17"/>
                <w:szCs w:val="17"/>
              </w:rPr>
            </w:pPr>
            <w:r w:rsidRPr="00C34218">
              <w:rPr>
                <w:rFonts w:ascii="Arial" w:hAnsi="Arial" w:cs="Arial"/>
                <w:sz w:val="17"/>
                <w:szCs w:val="17"/>
              </w:rPr>
              <w:t>Tribunal de Conciliación y Arbitraje</w:t>
            </w:r>
          </w:p>
        </w:tc>
        <w:tc>
          <w:tcPr>
            <w:tcW w:w="2180" w:type="dxa"/>
            <w:tcBorders>
              <w:top w:val="single" w:sz="4" w:space="0" w:color="auto"/>
              <w:left w:val="nil"/>
              <w:bottom w:val="single" w:sz="4" w:space="0" w:color="auto"/>
              <w:right w:val="single" w:sz="4" w:space="0" w:color="auto"/>
            </w:tcBorders>
            <w:shd w:val="clear" w:color="auto" w:fill="auto"/>
          </w:tcPr>
          <w:p w:rsidR="00156F42" w:rsidRPr="00156F42" w:rsidRDefault="00156F42" w:rsidP="00156F42">
            <w:pPr>
              <w:jc w:val="right"/>
              <w:rPr>
                <w:rFonts w:ascii="Arial" w:hAnsi="Arial" w:cs="Arial"/>
                <w:sz w:val="17"/>
                <w:szCs w:val="17"/>
              </w:rPr>
            </w:pPr>
            <w:r w:rsidRPr="00156F42">
              <w:rPr>
                <w:rFonts w:ascii="Arial" w:hAnsi="Arial" w:cs="Arial"/>
                <w:sz w:val="17"/>
                <w:szCs w:val="17"/>
              </w:rPr>
              <w:t xml:space="preserve">1,777,283 </w:t>
            </w:r>
          </w:p>
        </w:tc>
        <w:tc>
          <w:tcPr>
            <w:tcW w:w="2180" w:type="dxa"/>
            <w:tcBorders>
              <w:top w:val="single" w:sz="4" w:space="0" w:color="auto"/>
              <w:left w:val="nil"/>
              <w:bottom w:val="single" w:sz="4" w:space="0" w:color="auto"/>
              <w:right w:val="single" w:sz="4" w:space="0" w:color="auto"/>
            </w:tcBorders>
            <w:shd w:val="clear" w:color="auto" w:fill="auto"/>
          </w:tcPr>
          <w:p w:rsidR="00156F42" w:rsidRPr="00156F42" w:rsidRDefault="00156F42" w:rsidP="00156F42">
            <w:pPr>
              <w:jc w:val="right"/>
              <w:rPr>
                <w:rFonts w:ascii="Arial" w:hAnsi="Arial" w:cs="Arial"/>
                <w:sz w:val="17"/>
                <w:szCs w:val="17"/>
              </w:rPr>
            </w:pPr>
            <w:r w:rsidRPr="00156F42">
              <w:rPr>
                <w:rFonts w:ascii="Arial" w:hAnsi="Arial" w:cs="Arial"/>
                <w:sz w:val="17"/>
                <w:szCs w:val="17"/>
              </w:rPr>
              <w:t xml:space="preserve">1,301,836 </w:t>
            </w:r>
          </w:p>
        </w:tc>
      </w:tr>
      <w:tr w:rsidR="00156F42" w:rsidRPr="002D70DA" w:rsidTr="00156F4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56F42" w:rsidRPr="00C34218" w:rsidRDefault="00156F42" w:rsidP="00156F42">
            <w:pPr>
              <w:ind w:left="497"/>
              <w:rPr>
                <w:rFonts w:ascii="Arial" w:hAnsi="Arial" w:cs="Arial"/>
                <w:sz w:val="17"/>
                <w:szCs w:val="17"/>
              </w:rPr>
            </w:pPr>
            <w:r w:rsidRPr="00C34218">
              <w:rPr>
                <w:rFonts w:ascii="Arial" w:hAnsi="Arial" w:cs="Arial"/>
                <w:sz w:val="17"/>
                <w:szCs w:val="17"/>
              </w:rPr>
              <w:t>Tribunal de Justicia Administrativa del Estado de</w:t>
            </w:r>
          </w:p>
          <w:p w:rsidR="00156F42" w:rsidRPr="00560A6D" w:rsidRDefault="00156F42" w:rsidP="00156F42">
            <w:pPr>
              <w:ind w:left="497"/>
              <w:rPr>
                <w:rFonts w:ascii="Arial" w:hAnsi="Arial" w:cs="Arial"/>
                <w:sz w:val="17"/>
                <w:szCs w:val="17"/>
              </w:rPr>
            </w:pPr>
            <w:r w:rsidRPr="00C34218">
              <w:rPr>
                <w:rFonts w:ascii="Arial" w:hAnsi="Arial" w:cs="Arial"/>
                <w:sz w:val="17"/>
                <w:szCs w:val="17"/>
              </w:rPr>
              <w:t>Querétaro</w:t>
            </w:r>
          </w:p>
        </w:tc>
        <w:tc>
          <w:tcPr>
            <w:tcW w:w="2180" w:type="dxa"/>
            <w:tcBorders>
              <w:top w:val="single" w:sz="4" w:space="0" w:color="auto"/>
              <w:left w:val="nil"/>
              <w:bottom w:val="single" w:sz="4" w:space="0" w:color="auto"/>
              <w:right w:val="single" w:sz="4" w:space="0" w:color="auto"/>
            </w:tcBorders>
            <w:shd w:val="clear" w:color="auto" w:fill="auto"/>
          </w:tcPr>
          <w:p w:rsidR="00156F42" w:rsidRPr="00156F42" w:rsidRDefault="00156F42" w:rsidP="00156F42">
            <w:pPr>
              <w:jc w:val="right"/>
              <w:rPr>
                <w:rFonts w:ascii="Arial" w:hAnsi="Arial" w:cs="Arial"/>
                <w:sz w:val="17"/>
                <w:szCs w:val="17"/>
              </w:rPr>
            </w:pPr>
            <w:r w:rsidRPr="00156F42">
              <w:rPr>
                <w:rFonts w:ascii="Arial" w:hAnsi="Arial" w:cs="Arial"/>
                <w:sz w:val="17"/>
                <w:szCs w:val="17"/>
              </w:rPr>
              <w:t xml:space="preserve">681,653 </w:t>
            </w:r>
          </w:p>
        </w:tc>
        <w:tc>
          <w:tcPr>
            <w:tcW w:w="2180" w:type="dxa"/>
            <w:tcBorders>
              <w:top w:val="single" w:sz="4" w:space="0" w:color="auto"/>
              <w:left w:val="nil"/>
              <w:bottom w:val="single" w:sz="4" w:space="0" w:color="auto"/>
              <w:right w:val="single" w:sz="4" w:space="0" w:color="auto"/>
            </w:tcBorders>
            <w:shd w:val="clear" w:color="auto" w:fill="auto"/>
          </w:tcPr>
          <w:p w:rsidR="00156F42" w:rsidRPr="00156F42" w:rsidRDefault="00156F42" w:rsidP="00156F42">
            <w:pPr>
              <w:jc w:val="right"/>
              <w:rPr>
                <w:rFonts w:ascii="Arial" w:hAnsi="Arial" w:cs="Arial"/>
                <w:sz w:val="17"/>
                <w:szCs w:val="17"/>
              </w:rPr>
            </w:pPr>
            <w:r w:rsidRPr="00156F42">
              <w:rPr>
                <w:rFonts w:ascii="Arial" w:hAnsi="Arial" w:cs="Arial"/>
                <w:sz w:val="17"/>
                <w:szCs w:val="17"/>
              </w:rPr>
              <w:t xml:space="preserve">527,029 </w:t>
            </w:r>
          </w:p>
        </w:tc>
      </w:tr>
      <w:tr w:rsidR="00156F42" w:rsidRPr="002D70DA" w:rsidTr="00156F4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56F42" w:rsidRPr="00560A6D" w:rsidRDefault="00156F42" w:rsidP="00156F42">
            <w:pPr>
              <w:ind w:left="497"/>
              <w:rPr>
                <w:rFonts w:ascii="Arial" w:hAnsi="Arial" w:cs="Arial"/>
                <w:sz w:val="17"/>
                <w:szCs w:val="17"/>
              </w:rPr>
            </w:pPr>
            <w:r w:rsidRPr="00C34218">
              <w:rPr>
                <w:rFonts w:ascii="Arial" w:hAnsi="Arial" w:cs="Arial"/>
                <w:sz w:val="17"/>
                <w:szCs w:val="17"/>
              </w:rPr>
              <w:t>Tribunal Electoral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156F42" w:rsidRPr="00156F42" w:rsidRDefault="00156F42" w:rsidP="00156F42">
            <w:pPr>
              <w:jc w:val="right"/>
              <w:rPr>
                <w:rFonts w:ascii="Arial" w:hAnsi="Arial" w:cs="Arial"/>
                <w:sz w:val="17"/>
                <w:szCs w:val="17"/>
              </w:rPr>
            </w:pPr>
            <w:r w:rsidRPr="00156F42">
              <w:rPr>
                <w:rFonts w:ascii="Arial" w:hAnsi="Arial" w:cs="Arial"/>
                <w:sz w:val="17"/>
                <w:szCs w:val="17"/>
              </w:rPr>
              <w:t xml:space="preserve">168,546 </w:t>
            </w:r>
          </w:p>
        </w:tc>
        <w:tc>
          <w:tcPr>
            <w:tcW w:w="2180" w:type="dxa"/>
            <w:tcBorders>
              <w:top w:val="single" w:sz="4" w:space="0" w:color="auto"/>
              <w:left w:val="nil"/>
              <w:bottom w:val="single" w:sz="4" w:space="0" w:color="auto"/>
              <w:right w:val="single" w:sz="4" w:space="0" w:color="auto"/>
            </w:tcBorders>
            <w:shd w:val="clear" w:color="auto" w:fill="auto"/>
          </w:tcPr>
          <w:p w:rsidR="00156F42" w:rsidRPr="00156F42" w:rsidRDefault="00156F42" w:rsidP="00156F42">
            <w:pPr>
              <w:jc w:val="right"/>
              <w:rPr>
                <w:rFonts w:ascii="Arial" w:hAnsi="Arial" w:cs="Arial"/>
                <w:sz w:val="17"/>
                <w:szCs w:val="17"/>
              </w:rPr>
            </w:pPr>
            <w:r w:rsidRPr="00156F42">
              <w:rPr>
                <w:rFonts w:ascii="Arial" w:hAnsi="Arial" w:cs="Arial"/>
                <w:sz w:val="17"/>
                <w:szCs w:val="17"/>
              </w:rPr>
              <w:t xml:space="preserve">139,196 </w:t>
            </w:r>
          </w:p>
        </w:tc>
      </w:tr>
      <w:tr w:rsidR="00156F42" w:rsidRPr="002D70DA" w:rsidTr="00156F42">
        <w:trPr>
          <w:trHeight w:val="240"/>
          <w:jc w:val="center"/>
        </w:trPr>
        <w:tc>
          <w:tcPr>
            <w:tcW w:w="4900" w:type="dxa"/>
            <w:tcBorders>
              <w:top w:val="nil"/>
              <w:left w:val="nil"/>
              <w:bottom w:val="nil"/>
              <w:right w:val="single" w:sz="4" w:space="0" w:color="auto"/>
            </w:tcBorders>
            <w:shd w:val="clear" w:color="000000" w:fill="FFFFFF"/>
            <w:vAlign w:val="center"/>
            <w:hideMark/>
          </w:tcPr>
          <w:p w:rsidR="00156F42" w:rsidRPr="002D70DA" w:rsidRDefault="00156F42" w:rsidP="00156F42">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156F42" w:rsidRPr="00E707E7" w:rsidRDefault="00156F42" w:rsidP="00156F42">
            <w:pPr>
              <w:jc w:val="right"/>
              <w:rPr>
                <w:rFonts w:ascii="Arial" w:hAnsi="Arial" w:cs="Arial"/>
                <w:b/>
                <w:sz w:val="17"/>
                <w:szCs w:val="17"/>
              </w:rPr>
            </w:pPr>
            <w:r w:rsidRPr="00156F42">
              <w:rPr>
                <w:rFonts w:ascii="Arial" w:hAnsi="Arial" w:cs="Arial"/>
                <w:b/>
                <w:sz w:val="17"/>
                <w:szCs w:val="17"/>
              </w:rPr>
              <w:t>252,165,966</w:t>
            </w:r>
          </w:p>
        </w:tc>
        <w:tc>
          <w:tcPr>
            <w:tcW w:w="2180" w:type="dxa"/>
            <w:tcBorders>
              <w:top w:val="nil"/>
              <w:left w:val="single" w:sz="4" w:space="0" w:color="auto"/>
              <w:bottom w:val="single" w:sz="4" w:space="0" w:color="auto"/>
              <w:right w:val="single" w:sz="4" w:space="0" w:color="auto"/>
            </w:tcBorders>
            <w:shd w:val="clear" w:color="000000" w:fill="FFFFFF"/>
          </w:tcPr>
          <w:p w:rsidR="00156F42" w:rsidRPr="00156F42" w:rsidRDefault="00156F42" w:rsidP="00156F42">
            <w:pPr>
              <w:jc w:val="right"/>
              <w:rPr>
                <w:rFonts w:ascii="Arial" w:hAnsi="Arial" w:cs="Arial"/>
                <w:b/>
                <w:sz w:val="17"/>
                <w:szCs w:val="17"/>
              </w:rPr>
            </w:pPr>
            <w:r w:rsidRPr="00156F42">
              <w:rPr>
                <w:rFonts w:ascii="Arial" w:hAnsi="Arial" w:cs="Arial"/>
                <w:b/>
                <w:sz w:val="17"/>
                <w:szCs w:val="17"/>
              </w:rPr>
              <w:t xml:space="preserve">105,223,742 </w:t>
            </w:r>
          </w:p>
        </w:tc>
      </w:tr>
    </w:tbl>
    <w:p w:rsidR="006515BE" w:rsidRDefault="006515BE" w:rsidP="006C17A5">
      <w:pPr>
        <w:spacing w:before="80" w:line="250" w:lineRule="exact"/>
        <w:ind w:left="709"/>
        <w:jc w:val="both"/>
        <w:rPr>
          <w:rFonts w:ascii="Arial" w:eastAsia="Calibri" w:hAnsi="Arial" w:cs="Arial"/>
          <w:spacing w:val="-1"/>
          <w:sz w:val="17"/>
          <w:szCs w:val="17"/>
        </w:rPr>
      </w:pPr>
    </w:p>
    <w:p w:rsidR="009F208B" w:rsidRDefault="009F208B" w:rsidP="006C17A5">
      <w:pPr>
        <w:spacing w:before="80" w:line="250" w:lineRule="exact"/>
        <w:ind w:left="709"/>
        <w:jc w:val="both"/>
        <w:rPr>
          <w:rFonts w:ascii="Arial" w:eastAsia="Calibri" w:hAnsi="Arial" w:cs="Arial"/>
          <w:spacing w:val="-1"/>
          <w:sz w:val="17"/>
          <w:szCs w:val="17"/>
        </w:rPr>
      </w:pPr>
    </w:p>
    <w:p w:rsidR="00AD3746" w:rsidRDefault="001979E6" w:rsidP="006C17A5">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Se informa de manera agrupada el monto </w:t>
      </w:r>
      <w:r w:rsidR="005D109B">
        <w:rPr>
          <w:rFonts w:ascii="Arial" w:eastAsia="Calibri" w:hAnsi="Arial" w:cs="Arial"/>
          <w:spacing w:val="-1"/>
          <w:sz w:val="17"/>
          <w:szCs w:val="17"/>
        </w:rPr>
        <w:t xml:space="preserve">al </w:t>
      </w:r>
      <w:r w:rsidR="001E5A70">
        <w:rPr>
          <w:rFonts w:ascii="Arial" w:eastAsia="Calibri" w:hAnsi="Arial" w:cs="Arial"/>
          <w:spacing w:val="-1"/>
          <w:sz w:val="17"/>
          <w:szCs w:val="17"/>
        </w:rPr>
        <w:t xml:space="preserve">31 de diciembre del </w:t>
      </w:r>
      <w:r w:rsidR="00FD7D84">
        <w:rPr>
          <w:rFonts w:ascii="Arial" w:eastAsia="Calibri" w:hAnsi="Arial" w:cs="Arial"/>
          <w:spacing w:val="-1"/>
          <w:sz w:val="17"/>
          <w:szCs w:val="17"/>
        </w:rPr>
        <w:t>2020</w:t>
      </w:r>
      <w:r w:rsidRPr="002D70DA">
        <w:rPr>
          <w:rFonts w:ascii="Arial" w:eastAsia="Calibri" w:hAnsi="Arial" w:cs="Arial"/>
          <w:spacing w:val="-1"/>
          <w:sz w:val="17"/>
          <w:szCs w:val="17"/>
        </w:rPr>
        <w:t xml:space="preserve"> de los recursos localizados en </w:t>
      </w:r>
      <w:r w:rsidR="00121647" w:rsidRPr="00121647">
        <w:rPr>
          <w:rFonts w:ascii="Arial" w:eastAsia="Calibri" w:hAnsi="Arial" w:cs="Arial"/>
          <w:spacing w:val="-1"/>
          <w:sz w:val="17"/>
          <w:szCs w:val="17"/>
        </w:rPr>
        <w:t>Porción a Corto Plazo de la Deuda Pública a Largo Plazo</w:t>
      </w:r>
      <w:r w:rsidR="008638ED">
        <w:rPr>
          <w:rFonts w:ascii="Arial" w:eastAsia="Calibri" w:hAnsi="Arial" w:cs="Arial"/>
          <w:spacing w:val="-1"/>
          <w:sz w:val="17"/>
          <w:szCs w:val="17"/>
        </w:rPr>
        <w:t>:</w:t>
      </w:r>
    </w:p>
    <w:p w:rsidR="008638ED" w:rsidRDefault="008638ED" w:rsidP="008638ED">
      <w:pPr>
        <w:autoSpaceDE w:val="0"/>
        <w:autoSpaceDN w:val="0"/>
        <w:adjustRightInd w:val="0"/>
        <w:spacing w:before="240" w:after="120"/>
        <w:ind w:left="360"/>
        <w:jc w:val="center"/>
        <w:rPr>
          <w:rFonts w:ascii="Arial" w:eastAsia="Calibri" w:hAnsi="Arial" w:cs="Arial"/>
          <w:b/>
          <w:spacing w:val="-1"/>
          <w:sz w:val="17"/>
          <w:szCs w:val="17"/>
        </w:rPr>
      </w:pPr>
      <w:r w:rsidRPr="005540CE">
        <w:rPr>
          <w:rFonts w:ascii="Arial" w:eastAsia="Calibri" w:hAnsi="Arial" w:cs="Arial"/>
          <w:b/>
          <w:spacing w:val="-1"/>
          <w:sz w:val="17"/>
          <w:szCs w:val="17"/>
        </w:rPr>
        <w:t>(Pesos)</w:t>
      </w:r>
    </w:p>
    <w:tbl>
      <w:tblPr>
        <w:tblW w:w="8982" w:type="dxa"/>
        <w:jc w:val="center"/>
        <w:tblCellMar>
          <w:left w:w="70" w:type="dxa"/>
          <w:right w:w="70" w:type="dxa"/>
        </w:tblCellMar>
        <w:tblLook w:val="04A0" w:firstRow="1" w:lastRow="0" w:firstColumn="1" w:lastColumn="0" w:noHBand="0" w:noVBand="1"/>
      </w:tblPr>
      <w:tblGrid>
        <w:gridCol w:w="4743"/>
        <w:gridCol w:w="2091"/>
        <w:gridCol w:w="2148"/>
      </w:tblGrid>
      <w:tr w:rsidR="009F208B" w:rsidRPr="002D70DA" w:rsidTr="00121647">
        <w:trPr>
          <w:trHeight w:val="480"/>
          <w:jc w:val="center"/>
        </w:trPr>
        <w:tc>
          <w:tcPr>
            <w:tcW w:w="47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9F208B" w:rsidRPr="002D70DA" w:rsidRDefault="009F208B" w:rsidP="00C34218">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1" w:type="dxa"/>
            <w:tcBorders>
              <w:top w:val="single" w:sz="4" w:space="0" w:color="auto"/>
              <w:left w:val="nil"/>
              <w:bottom w:val="single" w:sz="4" w:space="0" w:color="auto"/>
              <w:right w:val="single" w:sz="4" w:space="0" w:color="auto"/>
            </w:tcBorders>
            <w:shd w:val="clear" w:color="auto" w:fill="D5DCE4" w:themeFill="text2" w:themeFillTint="33"/>
            <w:vAlign w:val="center"/>
          </w:tcPr>
          <w:p w:rsidR="009F208B" w:rsidRPr="002D70DA" w:rsidRDefault="00FD7D84" w:rsidP="00C34218">
            <w:pPr>
              <w:jc w:val="center"/>
              <w:rPr>
                <w:rFonts w:ascii="Arial" w:hAnsi="Arial" w:cs="Arial"/>
                <w:b/>
                <w:bCs/>
                <w:color w:val="000000"/>
                <w:sz w:val="17"/>
                <w:szCs w:val="17"/>
              </w:rPr>
            </w:pPr>
            <w:r>
              <w:rPr>
                <w:rFonts w:ascii="Arial" w:hAnsi="Arial" w:cs="Arial"/>
                <w:b/>
                <w:bCs/>
                <w:color w:val="000000"/>
                <w:sz w:val="17"/>
                <w:szCs w:val="17"/>
              </w:rPr>
              <w:t>2020</w:t>
            </w:r>
          </w:p>
        </w:tc>
        <w:tc>
          <w:tcPr>
            <w:tcW w:w="214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9F208B" w:rsidRPr="002D70DA" w:rsidRDefault="00FD7D84" w:rsidP="00C34218">
            <w:pPr>
              <w:jc w:val="center"/>
              <w:rPr>
                <w:rFonts w:ascii="Arial" w:hAnsi="Arial" w:cs="Arial"/>
                <w:b/>
                <w:bCs/>
                <w:color w:val="000000"/>
                <w:sz w:val="17"/>
                <w:szCs w:val="17"/>
              </w:rPr>
            </w:pPr>
            <w:r>
              <w:rPr>
                <w:rFonts w:ascii="Arial" w:hAnsi="Arial" w:cs="Arial"/>
                <w:b/>
                <w:bCs/>
                <w:color w:val="000000"/>
                <w:sz w:val="17"/>
                <w:szCs w:val="17"/>
              </w:rPr>
              <w:t>2019</w:t>
            </w:r>
          </w:p>
        </w:tc>
      </w:tr>
      <w:tr w:rsidR="00E707E7" w:rsidRPr="002D70DA" w:rsidTr="00121647">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E707E7" w:rsidRPr="00D0107E" w:rsidRDefault="00E707E7" w:rsidP="00E707E7">
            <w:pPr>
              <w:rPr>
                <w:rFonts w:ascii="Arial" w:hAnsi="Arial" w:cs="Arial"/>
                <w:sz w:val="17"/>
                <w:szCs w:val="17"/>
              </w:rPr>
            </w:pPr>
            <w:r w:rsidRPr="00121647">
              <w:rPr>
                <w:rFonts w:ascii="Arial" w:hAnsi="Arial" w:cs="Arial"/>
                <w:sz w:val="17"/>
                <w:szCs w:val="17"/>
              </w:rPr>
              <w:t>Porción a Corto Plazo de la Deuda Pública Interna</w:t>
            </w:r>
          </w:p>
        </w:tc>
        <w:tc>
          <w:tcPr>
            <w:tcW w:w="2091" w:type="dxa"/>
            <w:tcBorders>
              <w:top w:val="single" w:sz="4" w:space="0" w:color="auto"/>
              <w:left w:val="nil"/>
              <w:bottom w:val="single" w:sz="4" w:space="0" w:color="auto"/>
              <w:right w:val="single" w:sz="4" w:space="0" w:color="auto"/>
            </w:tcBorders>
            <w:shd w:val="clear" w:color="auto" w:fill="auto"/>
          </w:tcPr>
          <w:p w:rsidR="00E707E7" w:rsidRPr="00E707E7" w:rsidRDefault="0026694E" w:rsidP="00E707E7">
            <w:pPr>
              <w:jc w:val="right"/>
              <w:rPr>
                <w:rFonts w:ascii="Arial" w:hAnsi="Arial" w:cs="Arial"/>
                <w:sz w:val="17"/>
                <w:szCs w:val="17"/>
              </w:rPr>
            </w:pPr>
            <w:r w:rsidRPr="0026694E">
              <w:rPr>
                <w:rFonts w:ascii="Arial" w:hAnsi="Arial" w:cs="Arial"/>
                <w:sz w:val="17"/>
                <w:szCs w:val="17"/>
              </w:rPr>
              <w:t>92,349,380</w:t>
            </w:r>
          </w:p>
        </w:tc>
        <w:tc>
          <w:tcPr>
            <w:tcW w:w="2148" w:type="dxa"/>
            <w:tcBorders>
              <w:top w:val="nil"/>
              <w:left w:val="single" w:sz="4" w:space="0" w:color="auto"/>
              <w:bottom w:val="single" w:sz="4" w:space="0" w:color="auto"/>
              <w:right w:val="single" w:sz="4" w:space="0" w:color="auto"/>
            </w:tcBorders>
            <w:shd w:val="clear" w:color="auto" w:fill="auto"/>
          </w:tcPr>
          <w:p w:rsidR="00E707E7" w:rsidRPr="00E707E7" w:rsidRDefault="0026694E" w:rsidP="00E707E7">
            <w:pPr>
              <w:jc w:val="right"/>
              <w:rPr>
                <w:rFonts w:ascii="Arial" w:hAnsi="Arial" w:cs="Arial"/>
                <w:sz w:val="17"/>
                <w:szCs w:val="17"/>
              </w:rPr>
            </w:pPr>
            <w:r w:rsidRPr="0026694E">
              <w:rPr>
                <w:rFonts w:ascii="Arial" w:hAnsi="Arial" w:cs="Arial"/>
                <w:sz w:val="17"/>
                <w:szCs w:val="17"/>
              </w:rPr>
              <w:t>79,553,709</w:t>
            </w:r>
          </w:p>
        </w:tc>
      </w:tr>
    </w:tbl>
    <w:p w:rsidR="00E1372E" w:rsidRDefault="00E1372E" w:rsidP="00C055CB">
      <w:pPr>
        <w:autoSpaceDE w:val="0"/>
        <w:autoSpaceDN w:val="0"/>
        <w:adjustRightInd w:val="0"/>
        <w:spacing w:before="240" w:after="120"/>
        <w:ind w:left="709"/>
        <w:rPr>
          <w:rFonts w:ascii="Arial" w:eastAsia="Calibri" w:hAnsi="Arial" w:cs="Arial"/>
          <w:spacing w:val="-1"/>
          <w:sz w:val="17"/>
          <w:szCs w:val="17"/>
        </w:rPr>
      </w:pPr>
    </w:p>
    <w:p w:rsidR="009F208B" w:rsidRDefault="00C97214" w:rsidP="00C055CB">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El cual corresponde al Poder Ejecutivo del Estado.</w:t>
      </w:r>
    </w:p>
    <w:p w:rsidR="00C97214" w:rsidRDefault="00C97214" w:rsidP="00C055CB">
      <w:pPr>
        <w:autoSpaceDE w:val="0"/>
        <w:autoSpaceDN w:val="0"/>
        <w:adjustRightInd w:val="0"/>
        <w:spacing w:before="240" w:after="120"/>
        <w:ind w:left="709"/>
        <w:rPr>
          <w:rFonts w:ascii="Arial" w:eastAsia="Calibri" w:hAnsi="Arial" w:cs="Arial"/>
          <w:spacing w:val="-1"/>
          <w:sz w:val="17"/>
          <w:szCs w:val="17"/>
        </w:rPr>
      </w:pPr>
    </w:p>
    <w:p w:rsidR="000B503E" w:rsidRDefault="000B503E">
      <w:pPr>
        <w:rPr>
          <w:rFonts w:ascii="Arial" w:eastAsia="Calibri" w:hAnsi="Arial" w:cs="Arial"/>
          <w:spacing w:val="-1"/>
          <w:sz w:val="17"/>
          <w:szCs w:val="17"/>
        </w:rPr>
      </w:pPr>
      <w:r>
        <w:rPr>
          <w:rFonts w:ascii="Arial" w:eastAsia="Calibri" w:hAnsi="Arial" w:cs="Arial"/>
          <w:spacing w:val="-1"/>
          <w:sz w:val="17"/>
          <w:szCs w:val="17"/>
        </w:rPr>
        <w:br w:type="page"/>
      </w:r>
    </w:p>
    <w:p w:rsidR="000065BE" w:rsidRDefault="000065BE" w:rsidP="000065BE">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lastRenderedPageBreak/>
        <w:t xml:space="preserve">Se informa de manera agrupada el monto </w:t>
      </w:r>
      <w:r>
        <w:rPr>
          <w:rFonts w:ascii="Arial" w:eastAsia="Calibri" w:hAnsi="Arial" w:cs="Arial"/>
          <w:spacing w:val="-1"/>
          <w:sz w:val="17"/>
          <w:szCs w:val="17"/>
        </w:rPr>
        <w:t xml:space="preserve">al 31 de diciembre del </w:t>
      </w:r>
      <w:r w:rsidR="00FD7D84">
        <w:rPr>
          <w:rFonts w:ascii="Arial" w:eastAsia="Calibri" w:hAnsi="Arial" w:cs="Arial"/>
          <w:spacing w:val="-1"/>
          <w:sz w:val="17"/>
          <w:szCs w:val="17"/>
        </w:rPr>
        <w:t>2020</w:t>
      </w:r>
      <w:r w:rsidRPr="002D70DA">
        <w:rPr>
          <w:rFonts w:ascii="Arial" w:eastAsia="Calibri" w:hAnsi="Arial" w:cs="Arial"/>
          <w:spacing w:val="-1"/>
          <w:sz w:val="17"/>
          <w:szCs w:val="17"/>
        </w:rPr>
        <w:t xml:space="preserve"> de los recursos localizados en </w:t>
      </w:r>
      <w:r w:rsidRPr="000065BE">
        <w:rPr>
          <w:rFonts w:ascii="Arial" w:eastAsia="Calibri" w:hAnsi="Arial" w:cs="Arial"/>
          <w:spacing w:val="-1"/>
          <w:sz w:val="17"/>
          <w:szCs w:val="17"/>
        </w:rPr>
        <w:t>Fondos y Bienes de Terceros en Garantía y</w:t>
      </w:r>
      <w:r>
        <w:rPr>
          <w:rFonts w:ascii="Arial" w:eastAsia="Calibri" w:hAnsi="Arial" w:cs="Arial"/>
          <w:spacing w:val="-1"/>
          <w:sz w:val="17"/>
          <w:szCs w:val="17"/>
        </w:rPr>
        <w:t>/o Administración a Corto Plazo:</w:t>
      </w:r>
    </w:p>
    <w:p w:rsidR="000065BE" w:rsidRDefault="000065BE" w:rsidP="000065BE">
      <w:pPr>
        <w:autoSpaceDE w:val="0"/>
        <w:autoSpaceDN w:val="0"/>
        <w:adjustRightInd w:val="0"/>
        <w:spacing w:before="240" w:after="120"/>
        <w:ind w:left="360"/>
        <w:jc w:val="center"/>
        <w:rPr>
          <w:rFonts w:ascii="Arial" w:eastAsia="Calibri" w:hAnsi="Arial" w:cs="Arial"/>
          <w:b/>
          <w:spacing w:val="-1"/>
          <w:sz w:val="17"/>
          <w:szCs w:val="17"/>
        </w:rPr>
      </w:pPr>
      <w:r w:rsidRPr="005540CE">
        <w:rPr>
          <w:rFonts w:ascii="Arial" w:eastAsia="Calibri" w:hAnsi="Arial" w:cs="Arial"/>
          <w:b/>
          <w:spacing w:val="-1"/>
          <w:sz w:val="17"/>
          <w:szCs w:val="17"/>
        </w:rPr>
        <w:t>(Pesos)</w:t>
      </w:r>
    </w:p>
    <w:tbl>
      <w:tblPr>
        <w:tblW w:w="8987" w:type="dxa"/>
        <w:jc w:val="center"/>
        <w:tblCellMar>
          <w:left w:w="70" w:type="dxa"/>
          <w:right w:w="70" w:type="dxa"/>
        </w:tblCellMar>
        <w:tblLook w:val="04A0" w:firstRow="1" w:lastRow="0" w:firstColumn="1" w:lastColumn="0" w:noHBand="0" w:noVBand="1"/>
      </w:tblPr>
      <w:tblGrid>
        <w:gridCol w:w="4746"/>
        <w:gridCol w:w="2092"/>
        <w:gridCol w:w="2149"/>
      </w:tblGrid>
      <w:tr w:rsidR="000065BE" w:rsidRPr="002D70DA" w:rsidTr="005D7617">
        <w:trPr>
          <w:trHeight w:val="480"/>
          <w:jc w:val="center"/>
        </w:trPr>
        <w:tc>
          <w:tcPr>
            <w:tcW w:w="474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065BE" w:rsidRPr="002D70DA" w:rsidRDefault="000065BE" w:rsidP="00F338A3">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2" w:type="dxa"/>
            <w:tcBorders>
              <w:top w:val="single" w:sz="4" w:space="0" w:color="auto"/>
              <w:left w:val="nil"/>
              <w:bottom w:val="single" w:sz="4" w:space="0" w:color="auto"/>
              <w:right w:val="single" w:sz="4" w:space="0" w:color="auto"/>
            </w:tcBorders>
            <w:shd w:val="clear" w:color="auto" w:fill="D5DCE4" w:themeFill="text2" w:themeFillTint="33"/>
            <w:vAlign w:val="center"/>
          </w:tcPr>
          <w:p w:rsidR="000065BE"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2020</w:t>
            </w:r>
          </w:p>
        </w:tc>
        <w:tc>
          <w:tcPr>
            <w:tcW w:w="214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065BE"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2019</w:t>
            </w:r>
          </w:p>
        </w:tc>
      </w:tr>
      <w:tr w:rsidR="005D7617" w:rsidRPr="002D70DA" w:rsidTr="005D7617">
        <w:trPr>
          <w:trHeight w:val="240"/>
          <w:jc w:val="center"/>
        </w:trPr>
        <w:tc>
          <w:tcPr>
            <w:tcW w:w="4746" w:type="dxa"/>
            <w:tcBorders>
              <w:top w:val="nil"/>
              <w:left w:val="single" w:sz="4" w:space="0" w:color="auto"/>
              <w:bottom w:val="single" w:sz="4" w:space="0" w:color="auto"/>
              <w:right w:val="single" w:sz="4" w:space="0" w:color="auto"/>
            </w:tcBorders>
            <w:shd w:val="clear" w:color="auto" w:fill="auto"/>
          </w:tcPr>
          <w:p w:rsidR="005D7617" w:rsidRPr="000B503E" w:rsidRDefault="005D7617" w:rsidP="005D7617">
            <w:pPr>
              <w:rPr>
                <w:rFonts w:ascii="Arial" w:hAnsi="Arial" w:cs="Arial"/>
                <w:sz w:val="17"/>
                <w:szCs w:val="17"/>
              </w:rPr>
            </w:pPr>
            <w:r w:rsidRPr="000B503E">
              <w:rPr>
                <w:rFonts w:ascii="Arial" w:hAnsi="Arial" w:cs="Arial"/>
                <w:sz w:val="17"/>
                <w:szCs w:val="17"/>
              </w:rPr>
              <w:t>Fondos en Garantía a Corto Plazo</w:t>
            </w:r>
          </w:p>
        </w:tc>
        <w:tc>
          <w:tcPr>
            <w:tcW w:w="2092" w:type="dxa"/>
            <w:tcBorders>
              <w:top w:val="single" w:sz="4" w:space="0" w:color="auto"/>
              <w:left w:val="nil"/>
              <w:bottom w:val="single" w:sz="4" w:space="0" w:color="auto"/>
              <w:right w:val="single" w:sz="4" w:space="0" w:color="auto"/>
            </w:tcBorders>
            <w:shd w:val="clear" w:color="auto" w:fill="auto"/>
          </w:tcPr>
          <w:p w:rsidR="005D7617" w:rsidRPr="000B503E" w:rsidRDefault="005D7617" w:rsidP="005D7617">
            <w:pPr>
              <w:jc w:val="right"/>
              <w:rPr>
                <w:rFonts w:ascii="Arial" w:hAnsi="Arial" w:cs="Arial"/>
                <w:sz w:val="17"/>
                <w:szCs w:val="17"/>
              </w:rPr>
            </w:pPr>
            <w:r w:rsidRPr="000B503E">
              <w:rPr>
                <w:rFonts w:ascii="Arial" w:hAnsi="Arial" w:cs="Arial"/>
                <w:sz w:val="17"/>
                <w:szCs w:val="17"/>
              </w:rPr>
              <w:t xml:space="preserve"> </w:t>
            </w:r>
            <w:r w:rsidRPr="005D7617">
              <w:rPr>
                <w:rFonts w:ascii="Arial" w:hAnsi="Arial" w:cs="Arial"/>
                <w:sz w:val="17"/>
                <w:szCs w:val="17"/>
              </w:rPr>
              <w:t>11,074,850</w:t>
            </w:r>
          </w:p>
        </w:tc>
        <w:tc>
          <w:tcPr>
            <w:tcW w:w="2149" w:type="dxa"/>
            <w:tcBorders>
              <w:top w:val="nil"/>
              <w:left w:val="single" w:sz="4" w:space="0" w:color="auto"/>
              <w:bottom w:val="single" w:sz="4" w:space="0" w:color="auto"/>
              <w:right w:val="single" w:sz="4" w:space="0" w:color="auto"/>
            </w:tcBorders>
            <w:shd w:val="clear" w:color="auto" w:fill="auto"/>
          </w:tcPr>
          <w:p w:rsidR="005D7617" w:rsidRPr="005D7617" w:rsidRDefault="005D7617" w:rsidP="005D7617">
            <w:pPr>
              <w:jc w:val="right"/>
              <w:rPr>
                <w:rFonts w:ascii="Arial" w:hAnsi="Arial" w:cs="Arial"/>
                <w:sz w:val="17"/>
                <w:szCs w:val="17"/>
              </w:rPr>
            </w:pPr>
            <w:r w:rsidRPr="005D7617">
              <w:rPr>
                <w:rFonts w:ascii="Arial" w:hAnsi="Arial" w:cs="Arial"/>
                <w:sz w:val="17"/>
                <w:szCs w:val="17"/>
              </w:rPr>
              <w:t xml:space="preserve"> 13,728,299 </w:t>
            </w:r>
          </w:p>
        </w:tc>
      </w:tr>
      <w:tr w:rsidR="005D7617" w:rsidRPr="002D70DA" w:rsidTr="005D7617">
        <w:trPr>
          <w:trHeight w:val="240"/>
          <w:jc w:val="center"/>
        </w:trPr>
        <w:tc>
          <w:tcPr>
            <w:tcW w:w="4746" w:type="dxa"/>
            <w:tcBorders>
              <w:top w:val="nil"/>
              <w:left w:val="single" w:sz="4" w:space="0" w:color="auto"/>
              <w:bottom w:val="single" w:sz="4" w:space="0" w:color="auto"/>
              <w:right w:val="single" w:sz="4" w:space="0" w:color="auto"/>
            </w:tcBorders>
            <w:shd w:val="clear" w:color="auto" w:fill="auto"/>
          </w:tcPr>
          <w:p w:rsidR="005D7617" w:rsidRPr="000B503E" w:rsidRDefault="005D7617" w:rsidP="005D7617">
            <w:pPr>
              <w:rPr>
                <w:rFonts w:ascii="Arial" w:hAnsi="Arial" w:cs="Arial"/>
                <w:sz w:val="17"/>
                <w:szCs w:val="17"/>
              </w:rPr>
            </w:pPr>
            <w:r w:rsidRPr="000B503E">
              <w:rPr>
                <w:rFonts w:ascii="Arial" w:hAnsi="Arial" w:cs="Arial"/>
                <w:sz w:val="17"/>
                <w:szCs w:val="17"/>
              </w:rPr>
              <w:t>Otros Fondos de Terceros en Garantía y/o Administración a Corto Plazo</w:t>
            </w:r>
          </w:p>
        </w:tc>
        <w:tc>
          <w:tcPr>
            <w:tcW w:w="2092" w:type="dxa"/>
            <w:tcBorders>
              <w:top w:val="single" w:sz="4" w:space="0" w:color="auto"/>
              <w:left w:val="nil"/>
              <w:bottom w:val="single" w:sz="4" w:space="0" w:color="auto"/>
              <w:right w:val="single" w:sz="4" w:space="0" w:color="auto"/>
            </w:tcBorders>
            <w:shd w:val="clear" w:color="auto" w:fill="auto"/>
          </w:tcPr>
          <w:p w:rsidR="005D7617" w:rsidRPr="005D7617" w:rsidRDefault="005D7617" w:rsidP="005D7617">
            <w:pPr>
              <w:jc w:val="right"/>
              <w:rPr>
                <w:rFonts w:ascii="Arial" w:hAnsi="Arial" w:cs="Arial"/>
                <w:sz w:val="17"/>
                <w:szCs w:val="17"/>
              </w:rPr>
            </w:pPr>
            <w:r w:rsidRPr="005D7617">
              <w:rPr>
                <w:rFonts w:ascii="Arial" w:hAnsi="Arial" w:cs="Arial"/>
                <w:sz w:val="17"/>
                <w:szCs w:val="17"/>
              </w:rPr>
              <w:t xml:space="preserve">3,130,045 </w:t>
            </w:r>
          </w:p>
        </w:tc>
        <w:tc>
          <w:tcPr>
            <w:tcW w:w="2149" w:type="dxa"/>
            <w:tcBorders>
              <w:top w:val="nil"/>
              <w:left w:val="single" w:sz="4" w:space="0" w:color="auto"/>
              <w:bottom w:val="single" w:sz="4" w:space="0" w:color="auto"/>
              <w:right w:val="single" w:sz="4" w:space="0" w:color="auto"/>
            </w:tcBorders>
            <w:shd w:val="clear" w:color="auto" w:fill="auto"/>
          </w:tcPr>
          <w:p w:rsidR="005D7617" w:rsidRPr="005D7617" w:rsidRDefault="005D7617" w:rsidP="005D7617">
            <w:pPr>
              <w:jc w:val="right"/>
              <w:rPr>
                <w:rFonts w:ascii="Arial" w:hAnsi="Arial" w:cs="Arial"/>
                <w:sz w:val="17"/>
                <w:szCs w:val="17"/>
              </w:rPr>
            </w:pPr>
            <w:r w:rsidRPr="005D7617">
              <w:rPr>
                <w:rFonts w:ascii="Arial" w:hAnsi="Arial" w:cs="Arial"/>
                <w:sz w:val="17"/>
                <w:szCs w:val="17"/>
              </w:rPr>
              <w:t xml:space="preserve"> 2,949,162 </w:t>
            </w:r>
          </w:p>
        </w:tc>
      </w:tr>
      <w:tr w:rsidR="005D7617" w:rsidRPr="002D70DA" w:rsidTr="005D7617">
        <w:trPr>
          <w:trHeight w:val="240"/>
          <w:jc w:val="center"/>
        </w:trPr>
        <w:tc>
          <w:tcPr>
            <w:tcW w:w="4746" w:type="dxa"/>
            <w:tcBorders>
              <w:top w:val="nil"/>
              <w:left w:val="single" w:sz="4" w:space="0" w:color="auto"/>
              <w:bottom w:val="single" w:sz="4" w:space="0" w:color="auto"/>
              <w:right w:val="single" w:sz="4" w:space="0" w:color="auto"/>
            </w:tcBorders>
            <w:shd w:val="clear" w:color="auto" w:fill="auto"/>
          </w:tcPr>
          <w:p w:rsidR="005D7617" w:rsidRPr="000B503E" w:rsidRDefault="005D7617" w:rsidP="005D7617">
            <w:pPr>
              <w:rPr>
                <w:rFonts w:ascii="Arial" w:hAnsi="Arial" w:cs="Arial"/>
                <w:sz w:val="17"/>
                <w:szCs w:val="17"/>
              </w:rPr>
            </w:pPr>
            <w:r w:rsidRPr="000B503E">
              <w:rPr>
                <w:rFonts w:ascii="Arial" w:hAnsi="Arial" w:cs="Arial"/>
                <w:sz w:val="17"/>
                <w:szCs w:val="17"/>
              </w:rPr>
              <w:t>Valores y Bienes en Garantía a Corto Plazo</w:t>
            </w:r>
          </w:p>
        </w:tc>
        <w:tc>
          <w:tcPr>
            <w:tcW w:w="2092" w:type="dxa"/>
            <w:tcBorders>
              <w:top w:val="single" w:sz="4" w:space="0" w:color="auto"/>
              <w:left w:val="nil"/>
              <w:bottom w:val="single" w:sz="4" w:space="0" w:color="auto"/>
              <w:right w:val="single" w:sz="4" w:space="0" w:color="auto"/>
            </w:tcBorders>
            <w:shd w:val="clear" w:color="auto" w:fill="auto"/>
          </w:tcPr>
          <w:p w:rsidR="005D7617" w:rsidRPr="005D7617" w:rsidRDefault="005D7617" w:rsidP="005D7617">
            <w:pPr>
              <w:jc w:val="right"/>
              <w:rPr>
                <w:rFonts w:ascii="Arial" w:hAnsi="Arial" w:cs="Arial"/>
                <w:sz w:val="17"/>
                <w:szCs w:val="17"/>
              </w:rPr>
            </w:pPr>
            <w:r w:rsidRPr="005D7617">
              <w:rPr>
                <w:rFonts w:ascii="Arial" w:hAnsi="Arial" w:cs="Arial"/>
                <w:sz w:val="17"/>
                <w:szCs w:val="17"/>
              </w:rPr>
              <w:t xml:space="preserve">780,726 </w:t>
            </w:r>
          </w:p>
        </w:tc>
        <w:tc>
          <w:tcPr>
            <w:tcW w:w="2149" w:type="dxa"/>
            <w:tcBorders>
              <w:top w:val="nil"/>
              <w:left w:val="single" w:sz="4" w:space="0" w:color="auto"/>
              <w:bottom w:val="single" w:sz="4" w:space="0" w:color="auto"/>
              <w:right w:val="single" w:sz="4" w:space="0" w:color="auto"/>
            </w:tcBorders>
            <w:shd w:val="clear" w:color="auto" w:fill="auto"/>
          </w:tcPr>
          <w:p w:rsidR="005D7617" w:rsidRPr="005D7617" w:rsidRDefault="005D7617" w:rsidP="005D7617">
            <w:pPr>
              <w:jc w:val="right"/>
              <w:rPr>
                <w:rFonts w:ascii="Arial" w:hAnsi="Arial" w:cs="Arial"/>
                <w:sz w:val="17"/>
                <w:szCs w:val="17"/>
              </w:rPr>
            </w:pPr>
            <w:r w:rsidRPr="005D7617">
              <w:rPr>
                <w:rFonts w:ascii="Arial" w:hAnsi="Arial" w:cs="Arial"/>
                <w:sz w:val="17"/>
                <w:szCs w:val="17"/>
              </w:rPr>
              <w:t xml:space="preserve"> 780,726 </w:t>
            </w:r>
          </w:p>
        </w:tc>
      </w:tr>
      <w:tr w:rsidR="005D7617" w:rsidRPr="002D70DA" w:rsidTr="005D7617">
        <w:trPr>
          <w:trHeight w:val="240"/>
          <w:jc w:val="center"/>
        </w:trPr>
        <w:tc>
          <w:tcPr>
            <w:tcW w:w="4746" w:type="dxa"/>
            <w:tcBorders>
              <w:top w:val="single" w:sz="4" w:space="0" w:color="auto"/>
              <w:right w:val="single" w:sz="4" w:space="0" w:color="auto"/>
            </w:tcBorders>
            <w:shd w:val="clear" w:color="auto" w:fill="auto"/>
            <w:vAlign w:val="center"/>
          </w:tcPr>
          <w:p w:rsidR="005D7617" w:rsidRPr="00F93CE5" w:rsidRDefault="005D7617" w:rsidP="005D7617">
            <w:pPr>
              <w:jc w:val="center"/>
              <w:rPr>
                <w:rFonts w:ascii="Arial" w:hAnsi="Arial" w:cs="Arial"/>
                <w:b/>
                <w:bCs/>
                <w:color w:val="000000"/>
                <w:sz w:val="17"/>
                <w:szCs w:val="17"/>
              </w:rPr>
            </w:pPr>
            <w:r w:rsidRPr="00F93CE5">
              <w:rPr>
                <w:rFonts w:ascii="Arial" w:hAnsi="Arial" w:cs="Arial"/>
                <w:b/>
                <w:bCs/>
                <w:color w:val="000000"/>
                <w:sz w:val="17"/>
                <w:szCs w:val="17"/>
              </w:rPr>
              <w:t>Total</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5D7617" w:rsidRPr="000B503E" w:rsidRDefault="005D7617" w:rsidP="005D7617">
            <w:pPr>
              <w:jc w:val="right"/>
              <w:rPr>
                <w:rFonts w:ascii="Arial" w:hAnsi="Arial" w:cs="Arial"/>
                <w:b/>
                <w:sz w:val="17"/>
                <w:szCs w:val="17"/>
              </w:rPr>
            </w:pPr>
            <w:r w:rsidRPr="005D7617">
              <w:rPr>
                <w:rFonts w:ascii="Arial" w:hAnsi="Arial" w:cs="Arial"/>
                <w:b/>
                <w:sz w:val="17"/>
                <w:szCs w:val="17"/>
              </w:rPr>
              <w:t>14,985,621</w:t>
            </w: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5D7617" w:rsidRPr="005D7617" w:rsidRDefault="005D7617" w:rsidP="005D7617">
            <w:pPr>
              <w:jc w:val="right"/>
              <w:rPr>
                <w:rFonts w:ascii="Arial" w:hAnsi="Arial" w:cs="Arial"/>
                <w:b/>
                <w:sz w:val="17"/>
                <w:szCs w:val="17"/>
              </w:rPr>
            </w:pPr>
            <w:r w:rsidRPr="005D7617">
              <w:rPr>
                <w:rFonts w:ascii="Arial" w:hAnsi="Arial" w:cs="Arial"/>
                <w:b/>
                <w:sz w:val="17"/>
                <w:szCs w:val="17"/>
              </w:rPr>
              <w:t xml:space="preserve"> 17,458,187 </w:t>
            </w:r>
          </w:p>
        </w:tc>
      </w:tr>
    </w:tbl>
    <w:p w:rsidR="00E279F6" w:rsidRDefault="00E279F6" w:rsidP="00E279F6">
      <w:pPr>
        <w:autoSpaceDE w:val="0"/>
        <w:autoSpaceDN w:val="0"/>
        <w:adjustRightInd w:val="0"/>
        <w:spacing w:before="240" w:after="120"/>
        <w:ind w:left="709"/>
        <w:rPr>
          <w:rFonts w:ascii="Arial" w:eastAsia="Calibri" w:hAnsi="Arial" w:cs="Arial"/>
          <w:spacing w:val="-1"/>
          <w:sz w:val="17"/>
          <w:szCs w:val="17"/>
        </w:rPr>
      </w:pPr>
    </w:p>
    <w:p w:rsidR="00821630" w:rsidRDefault="00821630" w:rsidP="00821630">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El de</w:t>
      </w:r>
      <w:r w:rsidRPr="00D33839">
        <w:rPr>
          <w:rFonts w:ascii="Arial" w:eastAsia="Calibri" w:hAnsi="Arial" w:cs="Arial"/>
          <w:spacing w:val="-1"/>
          <w:sz w:val="17"/>
          <w:szCs w:val="17"/>
        </w:rPr>
        <w:t xml:space="preserve">cremento en el saldo corresponde </w:t>
      </w:r>
      <w:r>
        <w:rPr>
          <w:rFonts w:ascii="Arial" w:eastAsia="Calibri" w:hAnsi="Arial" w:cs="Arial"/>
          <w:spacing w:val="-1"/>
          <w:sz w:val="17"/>
          <w:szCs w:val="17"/>
        </w:rPr>
        <w:t xml:space="preserve">principalmente </w:t>
      </w:r>
      <w:r w:rsidRPr="00D33839">
        <w:rPr>
          <w:rFonts w:ascii="Arial" w:eastAsia="Calibri" w:hAnsi="Arial" w:cs="Arial"/>
          <w:spacing w:val="-1"/>
          <w:sz w:val="17"/>
          <w:szCs w:val="17"/>
        </w:rPr>
        <w:t xml:space="preserve">a la </w:t>
      </w:r>
      <w:r>
        <w:rPr>
          <w:rFonts w:ascii="Arial" w:eastAsia="Calibri" w:hAnsi="Arial" w:cs="Arial"/>
          <w:spacing w:val="-1"/>
          <w:sz w:val="17"/>
          <w:szCs w:val="17"/>
        </w:rPr>
        <w:t xml:space="preserve">disminución de la cuenta de </w:t>
      </w:r>
      <w:r w:rsidR="005D7617" w:rsidRPr="005D7617">
        <w:rPr>
          <w:rFonts w:ascii="Arial" w:eastAsia="Calibri" w:hAnsi="Arial" w:cs="Arial"/>
          <w:spacing w:val="-1"/>
          <w:sz w:val="17"/>
          <w:szCs w:val="17"/>
        </w:rPr>
        <w:t>Fondos en Garantía a Corto Plazo</w:t>
      </w:r>
      <w:r w:rsidRPr="0030750A">
        <w:rPr>
          <w:rFonts w:ascii="Arial" w:eastAsia="Calibri" w:hAnsi="Arial" w:cs="Arial"/>
          <w:spacing w:val="-1"/>
          <w:sz w:val="17"/>
          <w:szCs w:val="17"/>
        </w:rPr>
        <w:t xml:space="preserve"> </w:t>
      </w:r>
      <w:r w:rsidRPr="00D33839">
        <w:rPr>
          <w:rFonts w:ascii="Arial" w:eastAsia="Calibri" w:hAnsi="Arial" w:cs="Arial"/>
          <w:spacing w:val="-1"/>
          <w:sz w:val="17"/>
          <w:szCs w:val="17"/>
        </w:rPr>
        <w:t>por parte de</w:t>
      </w:r>
      <w:r>
        <w:rPr>
          <w:rFonts w:ascii="Arial" w:eastAsia="Calibri" w:hAnsi="Arial" w:cs="Arial"/>
          <w:spacing w:val="-1"/>
          <w:sz w:val="17"/>
          <w:szCs w:val="17"/>
        </w:rPr>
        <w:t>l Poder Ejecutivo.</w:t>
      </w:r>
    </w:p>
    <w:p w:rsidR="00821630" w:rsidRDefault="00821630" w:rsidP="00E279F6">
      <w:pPr>
        <w:autoSpaceDE w:val="0"/>
        <w:autoSpaceDN w:val="0"/>
        <w:adjustRightInd w:val="0"/>
        <w:spacing w:before="240" w:after="120"/>
        <w:ind w:left="709"/>
        <w:rPr>
          <w:rFonts w:ascii="Arial" w:eastAsia="Calibri" w:hAnsi="Arial" w:cs="Arial"/>
          <w:spacing w:val="-1"/>
          <w:sz w:val="17"/>
          <w:szCs w:val="17"/>
        </w:rPr>
      </w:pPr>
    </w:p>
    <w:p w:rsidR="00E279F6" w:rsidRDefault="00E279F6" w:rsidP="00E279F6">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La cual está distribuido de la siguiente manera:</w:t>
      </w:r>
    </w:p>
    <w:p w:rsidR="00E279F6" w:rsidRPr="002D70DA" w:rsidRDefault="00E279F6" w:rsidP="00E279F6">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E279F6" w:rsidRPr="002D70DA" w:rsidTr="00D205D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279F6" w:rsidRPr="002D70DA" w:rsidRDefault="00E279F6" w:rsidP="00F338A3">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E279F6"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E279F6"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2019</w:t>
            </w:r>
          </w:p>
        </w:tc>
      </w:tr>
      <w:tr w:rsidR="00D205D7" w:rsidRPr="002D70DA" w:rsidTr="00D205D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205D7" w:rsidRPr="00C34218" w:rsidRDefault="00D205D7" w:rsidP="00D205D7">
            <w:pPr>
              <w:rPr>
                <w:rFonts w:ascii="Arial" w:hAnsi="Arial" w:cs="Arial"/>
                <w:b/>
                <w:sz w:val="17"/>
                <w:szCs w:val="17"/>
              </w:rPr>
            </w:pPr>
            <w:r w:rsidRPr="00C34218">
              <w:rPr>
                <w:rFonts w:ascii="Arial" w:hAnsi="Arial" w:cs="Arial"/>
                <w:b/>
                <w:sz w:val="17"/>
                <w:szCs w:val="17"/>
              </w:rPr>
              <w:t>Poder Ejecutivo</w:t>
            </w:r>
          </w:p>
        </w:tc>
        <w:tc>
          <w:tcPr>
            <w:tcW w:w="2180" w:type="dxa"/>
            <w:tcBorders>
              <w:top w:val="single" w:sz="4" w:space="0" w:color="auto"/>
              <w:left w:val="nil"/>
              <w:bottom w:val="single" w:sz="4" w:space="0" w:color="auto"/>
              <w:right w:val="single" w:sz="4" w:space="0" w:color="auto"/>
            </w:tcBorders>
            <w:shd w:val="clear" w:color="auto" w:fill="auto"/>
          </w:tcPr>
          <w:p w:rsidR="00D205D7" w:rsidRPr="0085799D" w:rsidRDefault="00D205D7" w:rsidP="00D205D7">
            <w:pPr>
              <w:jc w:val="right"/>
              <w:rPr>
                <w:rFonts w:ascii="Arial" w:hAnsi="Arial" w:cs="Arial"/>
                <w:b/>
                <w:sz w:val="17"/>
                <w:szCs w:val="17"/>
              </w:rPr>
            </w:pPr>
            <w:r w:rsidRPr="00D205D7">
              <w:rPr>
                <w:rFonts w:ascii="Arial" w:hAnsi="Arial" w:cs="Arial"/>
                <w:b/>
                <w:sz w:val="17"/>
                <w:szCs w:val="17"/>
              </w:rPr>
              <w:t>14,592,459</w:t>
            </w:r>
          </w:p>
        </w:tc>
        <w:tc>
          <w:tcPr>
            <w:tcW w:w="2180" w:type="dxa"/>
            <w:tcBorders>
              <w:top w:val="single" w:sz="4" w:space="0" w:color="auto"/>
              <w:left w:val="nil"/>
              <w:bottom w:val="single" w:sz="4" w:space="0" w:color="auto"/>
              <w:right w:val="single" w:sz="4" w:space="0" w:color="auto"/>
            </w:tcBorders>
            <w:shd w:val="clear" w:color="auto" w:fill="auto"/>
          </w:tcPr>
          <w:p w:rsidR="00D205D7" w:rsidRPr="00D205D7" w:rsidRDefault="00D205D7" w:rsidP="00D205D7">
            <w:pPr>
              <w:jc w:val="right"/>
              <w:rPr>
                <w:rFonts w:ascii="Arial" w:hAnsi="Arial" w:cs="Arial"/>
                <w:b/>
                <w:sz w:val="17"/>
                <w:szCs w:val="17"/>
              </w:rPr>
            </w:pPr>
            <w:r w:rsidRPr="00D205D7">
              <w:rPr>
                <w:rFonts w:ascii="Arial" w:hAnsi="Arial" w:cs="Arial"/>
                <w:b/>
                <w:sz w:val="17"/>
                <w:szCs w:val="17"/>
              </w:rPr>
              <w:t xml:space="preserve">17,025,463 </w:t>
            </w:r>
          </w:p>
        </w:tc>
      </w:tr>
      <w:tr w:rsidR="00D205D7" w:rsidRPr="002D70DA" w:rsidTr="00D205D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205D7" w:rsidRPr="00C34218" w:rsidRDefault="00D205D7" w:rsidP="00D205D7">
            <w:pPr>
              <w:rPr>
                <w:rFonts w:ascii="Arial" w:hAnsi="Arial" w:cs="Arial"/>
                <w:b/>
                <w:sz w:val="17"/>
                <w:szCs w:val="17"/>
              </w:rPr>
            </w:pPr>
            <w:r w:rsidRPr="00C34218">
              <w:rPr>
                <w:rFonts w:ascii="Arial" w:hAnsi="Arial" w:cs="Arial"/>
                <w:b/>
                <w:sz w:val="17"/>
                <w:szCs w:val="17"/>
              </w:rPr>
              <w:t>Órganos Autónomos</w:t>
            </w:r>
          </w:p>
        </w:tc>
        <w:tc>
          <w:tcPr>
            <w:tcW w:w="2180" w:type="dxa"/>
            <w:tcBorders>
              <w:top w:val="single" w:sz="4" w:space="0" w:color="auto"/>
              <w:left w:val="nil"/>
              <w:bottom w:val="single" w:sz="4" w:space="0" w:color="auto"/>
              <w:right w:val="single" w:sz="4" w:space="0" w:color="auto"/>
            </w:tcBorders>
            <w:shd w:val="clear" w:color="auto" w:fill="auto"/>
          </w:tcPr>
          <w:p w:rsidR="00D205D7" w:rsidRPr="0085799D" w:rsidRDefault="00D205D7" w:rsidP="00D205D7">
            <w:pPr>
              <w:jc w:val="right"/>
              <w:rPr>
                <w:rFonts w:ascii="Arial" w:hAnsi="Arial" w:cs="Arial"/>
                <w:b/>
                <w:sz w:val="17"/>
                <w:szCs w:val="17"/>
              </w:rPr>
            </w:pPr>
            <w:r w:rsidRPr="00D205D7">
              <w:rPr>
                <w:rFonts w:ascii="Arial" w:hAnsi="Arial" w:cs="Arial"/>
                <w:b/>
                <w:sz w:val="17"/>
                <w:szCs w:val="17"/>
              </w:rPr>
              <w:t>393,162</w:t>
            </w:r>
          </w:p>
        </w:tc>
        <w:tc>
          <w:tcPr>
            <w:tcW w:w="2180" w:type="dxa"/>
            <w:tcBorders>
              <w:top w:val="single" w:sz="4" w:space="0" w:color="auto"/>
              <w:left w:val="nil"/>
              <w:bottom w:val="single" w:sz="4" w:space="0" w:color="auto"/>
              <w:right w:val="single" w:sz="4" w:space="0" w:color="auto"/>
            </w:tcBorders>
            <w:shd w:val="clear" w:color="auto" w:fill="auto"/>
          </w:tcPr>
          <w:p w:rsidR="00D205D7" w:rsidRPr="00D205D7" w:rsidRDefault="00D205D7" w:rsidP="00D205D7">
            <w:pPr>
              <w:jc w:val="right"/>
              <w:rPr>
                <w:rFonts w:ascii="Arial" w:hAnsi="Arial" w:cs="Arial"/>
                <w:b/>
                <w:sz w:val="17"/>
                <w:szCs w:val="17"/>
              </w:rPr>
            </w:pPr>
            <w:r w:rsidRPr="00D205D7">
              <w:rPr>
                <w:rFonts w:ascii="Arial" w:hAnsi="Arial" w:cs="Arial"/>
                <w:b/>
                <w:sz w:val="17"/>
                <w:szCs w:val="17"/>
              </w:rPr>
              <w:t xml:space="preserve">432,724 </w:t>
            </w:r>
          </w:p>
        </w:tc>
      </w:tr>
      <w:tr w:rsidR="00D205D7" w:rsidRPr="002D70DA" w:rsidTr="00D205D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205D7" w:rsidRPr="00C34218" w:rsidRDefault="00D205D7" w:rsidP="00D205D7">
            <w:pPr>
              <w:ind w:left="497"/>
              <w:rPr>
                <w:rFonts w:ascii="Arial" w:hAnsi="Arial" w:cs="Arial"/>
                <w:sz w:val="17"/>
                <w:szCs w:val="17"/>
              </w:rPr>
            </w:pPr>
            <w:r w:rsidRPr="00C34218">
              <w:rPr>
                <w:rFonts w:ascii="Arial" w:hAnsi="Arial" w:cs="Arial"/>
                <w:sz w:val="17"/>
                <w:szCs w:val="17"/>
              </w:rPr>
              <w:t>Fiscalía General del Estado</w:t>
            </w:r>
          </w:p>
        </w:tc>
        <w:tc>
          <w:tcPr>
            <w:tcW w:w="2180" w:type="dxa"/>
            <w:tcBorders>
              <w:top w:val="single" w:sz="4" w:space="0" w:color="auto"/>
              <w:left w:val="nil"/>
              <w:bottom w:val="single" w:sz="4" w:space="0" w:color="auto"/>
              <w:right w:val="single" w:sz="4" w:space="0" w:color="auto"/>
            </w:tcBorders>
            <w:shd w:val="clear" w:color="auto" w:fill="auto"/>
          </w:tcPr>
          <w:p w:rsidR="00D205D7" w:rsidRPr="00821630" w:rsidRDefault="00D205D7" w:rsidP="00D205D7">
            <w:pPr>
              <w:jc w:val="right"/>
              <w:rPr>
                <w:rFonts w:ascii="Arial" w:hAnsi="Arial" w:cs="Arial"/>
                <w:sz w:val="17"/>
                <w:szCs w:val="17"/>
              </w:rPr>
            </w:pPr>
            <w:r w:rsidRPr="00821630">
              <w:rPr>
                <w:rFonts w:ascii="Arial" w:hAnsi="Arial" w:cs="Arial"/>
                <w:sz w:val="17"/>
                <w:szCs w:val="17"/>
              </w:rPr>
              <w:t xml:space="preserve">8,500 </w:t>
            </w:r>
          </w:p>
        </w:tc>
        <w:tc>
          <w:tcPr>
            <w:tcW w:w="2180" w:type="dxa"/>
            <w:tcBorders>
              <w:top w:val="single" w:sz="4" w:space="0" w:color="auto"/>
              <w:left w:val="nil"/>
              <w:bottom w:val="single" w:sz="4" w:space="0" w:color="auto"/>
              <w:right w:val="single" w:sz="4" w:space="0" w:color="auto"/>
            </w:tcBorders>
            <w:shd w:val="clear" w:color="auto" w:fill="auto"/>
          </w:tcPr>
          <w:p w:rsidR="00D205D7" w:rsidRPr="00D205D7" w:rsidRDefault="00D205D7" w:rsidP="00D205D7">
            <w:pPr>
              <w:jc w:val="right"/>
              <w:rPr>
                <w:rFonts w:ascii="Arial" w:hAnsi="Arial" w:cs="Arial"/>
                <w:sz w:val="17"/>
                <w:szCs w:val="17"/>
              </w:rPr>
            </w:pPr>
            <w:r w:rsidRPr="00D205D7">
              <w:rPr>
                <w:rFonts w:ascii="Arial" w:hAnsi="Arial" w:cs="Arial"/>
                <w:sz w:val="17"/>
                <w:szCs w:val="17"/>
              </w:rPr>
              <w:t xml:space="preserve">8,500 </w:t>
            </w:r>
          </w:p>
        </w:tc>
      </w:tr>
      <w:tr w:rsidR="00D205D7" w:rsidRPr="002D70DA" w:rsidTr="00D205D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205D7" w:rsidRPr="00C34218" w:rsidRDefault="00D205D7" w:rsidP="00D205D7">
            <w:pPr>
              <w:ind w:left="497"/>
              <w:rPr>
                <w:rFonts w:ascii="Arial" w:hAnsi="Arial" w:cs="Arial"/>
                <w:sz w:val="17"/>
                <w:szCs w:val="17"/>
              </w:rPr>
            </w:pPr>
            <w:r w:rsidRPr="00C34218">
              <w:rPr>
                <w:rFonts w:ascii="Arial" w:hAnsi="Arial" w:cs="Arial"/>
                <w:sz w:val="17"/>
                <w:szCs w:val="17"/>
              </w:rPr>
              <w:t>Tribunal de Justicia Administrativa del Estado de</w:t>
            </w:r>
          </w:p>
          <w:p w:rsidR="00D205D7" w:rsidRPr="00560A6D" w:rsidRDefault="00D205D7" w:rsidP="00D205D7">
            <w:pPr>
              <w:ind w:left="497"/>
              <w:rPr>
                <w:rFonts w:ascii="Arial" w:hAnsi="Arial" w:cs="Arial"/>
                <w:sz w:val="17"/>
                <w:szCs w:val="17"/>
              </w:rPr>
            </w:pPr>
            <w:r w:rsidRPr="00C34218">
              <w:rPr>
                <w:rFonts w:ascii="Arial" w:hAnsi="Arial" w:cs="Arial"/>
                <w:sz w:val="17"/>
                <w:szCs w:val="17"/>
              </w:rPr>
              <w:t>Querétaro</w:t>
            </w:r>
          </w:p>
        </w:tc>
        <w:tc>
          <w:tcPr>
            <w:tcW w:w="2180" w:type="dxa"/>
            <w:tcBorders>
              <w:top w:val="single" w:sz="4" w:space="0" w:color="auto"/>
              <w:left w:val="nil"/>
              <w:bottom w:val="single" w:sz="4" w:space="0" w:color="auto"/>
              <w:right w:val="single" w:sz="4" w:space="0" w:color="auto"/>
            </w:tcBorders>
            <w:shd w:val="clear" w:color="auto" w:fill="auto"/>
          </w:tcPr>
          <w:p w:rsidR="00D205D7" w:rsidRPr="00821630" w:rsidRDefault="00D205D7" w:rsidP="00D205D7">
            <w:pPr>
              <w:jc w:val="right"/>
              <w:rPr>
                <w:rFonts w:ascii="Arial" w:hAnsi="Arial" w:cs="Arial"/>
                <w:sz w:val="17"/>
                <w:szCs w:val="17"/>
              </w:rPr>
            </w:pPr>
            <w:r w:rsidRPr="00D205D7">
              <w:rPr>
                <w:rFonts w:ascii="Arial" w:hAnsi="Arial" w:cs="Arial"/>
                <w:sz w:val="17"/>
                <w:szCs w:val="17"/>
              </w:rPr>
              <w:t>384,662</w:t>
            </w:r>
          </w:p>
        </w:tc>
        <w:tc>
          <w:tcPr>
            <w:tcW w:w="2180" w:type="dxa"/>
            <w:tcBorders>
              <w:top w:val="single" w:sz="4" w:space="0" w:color="auto"/>
              <w:left w:val="nil"/>
              <w:bottom w:val="single" w:sz="4" w:space="0" w:color="auto"/>
              <w:right w:val="single" w:sz="4" w:space="0" w:color="auto"/>
            </w:tcBorders>
            <w:shd w:val="clear" w:color="auto" w:fill="auto"/>
          </w:tcPr>
          <w:p w:rsidR="00D205D7" w:rsidRPr="00D205D7" w:rsidRDefault="00D205D7" w:rsidP="00D205D7">
            <w:pPr>
              <w:jc w:val="right"/>
              <w:rPr>
                <w:rFonts w:ascii="Arial" w:hAnsi="Arial" w:cs="Arial"/>
                <w:sz w:val="17"/>
                <w:szCs w:val="17"/>
              </w:rPr>
            </w:pPr>
            <w:r w:rsidRPr="00D205D7">
              <w:rPr>
                <w:rFonts w:ascii="Arial" w:hAnsi="Arial" w:cs="Arial"/>
                <w:sz w:val="17"/>
                <w:szCs w:val="17"/>
              </w:rPr>
              <w:t xml:space="preserve">424,224 </w:t>
            </w:r>
          </w:p>
        </w:tc>
      </w:tr>
      <w:tr w:rsidR="00D205D7" w:rsidRPr="002D70DA" w:rsidTr="00D205D7">
        <w:trPr>
          <w:trHeight w:val="240"/>
          <w:jc w:val="center"/>
        </w:trPr>
        <w:tc>
          <w:tcPr>
            <w:tcW w:w="4900" w:type="dxa"/>
            <w:tcBorders>
              <w:top w:val="nil"/>
              <w:left w:val="nil"/>
              <w:bottom w:val="nil"/>
              <w:right w:val="single" w:sz="4" w:space="0" w:color="auto"/>
            </w:tcBorders>
            <w:shd w:val="clear" w:color="000000" w:fill="FFFFFF"/>
            <w:vAlign w:val="center"/>
            <w:hideMark/>
          </w:tcPr>
          <w:p w:rsidR="00D205D7" w:rsidRPr="002D70DA" w:rsidRDefault="00D205D7" w:rsidP="00D205D7">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D205D7" w:rsidRPr="00821630" w:rsidRDefault="00D205D7" w:rsidP="00D205D7">
            <w:pPr>
              <w:jc w:val="right"/>
              <w:rPr>
                <w:rFonts w:ascii="Arial" w:hAnsi="Arial" w:cs="Arial"/>
                <w:b/>
                <w:sz w:val="17"/>
                <w:szCs w:val="17"/>
              </w:rPr>
            </w:pPr>
            <w:r w:rsidRPr="00D205D7">
              <w:rPr>
                <w:rFonts w:ascii="Arial" w:hAnsi="Arial" w:cs="Arial"/>
                <w:b/>
                <w:sz w:val="17"/>
                <w:szCs w:val="17"/>
              </w:rPr>
              <w:t>14,985,621</w:t>
            </w:r>
          </w:p>
        </w:tc>
        <w:tc>
          <w:tcPr>
            <w:tcW w:w="2180" w:type="dxa"/>
            <w:tcBorders>
              <w:top w:val="nil"/>
              <w:left w:val="single" w:sz="4" w:space="0" w:color="auto"/>
              <w:bottom w:val="single" w:sz="4" w:space="0" w:color="auto"/>
              <w:right w:val="single" w:sz="4" w:space="0" w:color="auto"/>
            </w:tcBorders>
            <w:shd w:val="clear" w:color="000000" w:fill="FFFFFF"/>
          </w:tcPr>
          <w:p w:rsidR="00D205D7" w:rsidRPr="00D205D7" w:rsidRDefault="00D205D7" w:rsidP="00D205D7">
            <w:pPr>
              <w:jc w:val="right"/>
              <w:rPr>
                <w:rFonts w:ascii="Arial" w:hAnsi="Arial" w:cs="Arial"/>
                <w:b/>
                <w:sz w:val="17"/>
                <w:szCs w:val="17"/>
              </w:rPr>
            </w:pPr>
            <w:r w:rsidRPr="00D205D7">
              <w:rPr>
                <w:rFonts w:ascii="Arial" w:hAnsi="Arial" w:cs="Arial"/>
                <w:b/>
                <w:sz w:val="17"/>
                <w:szCs w:val="17"/>
              </w:rPr>
              <w:t xml:space="preserve">17,458,187 </w:t>
            </w:r>
          </w:p>
        </w:tc>
      </w:tr>
    </w:tbl>
    <w:p w:rsidR="00C81F8A" w:rsidRDefault="00C81F8A" w:rsidP="000767E5">
      <w:pPr>
        <w:spacing w:before="80" w:line="250" w:lineRule="exact"/>
        <w:ind w:left="709"/>
        <w:jc w:val="both"/>
        <w:rPr>
          <w:rFonts w:ascii="Arial" w:eastAsia="Calibri" w:hAnsi="Arial" w:cs="Arial"/>
          <w:spacing w:val="-1"/>
          <w:sz w:val="17"/>
          <w:szCs w:val="17"/>
        </w:rPr>
      </w:pPr>
    </w:p>
    <w:p w:rsidR="00C81F8A" w:rsidRDefault="00C81F8A" w:rsidP="000767E5">
      <w:pPr>
        <w:spacing w:before="80" w:line="250" w:lineRule="exact"/>
        <w:ind w:left="709"/>
        <w:jc w:val="both"/>
        <w:rPr>
          <w:rFonts w:ascii="Arial" w:eastAsia="Calibri" w:hAnsi="Arial" w:cs="Arial"/>
          <w:spacing w:val="-1"/>
          <w:sz w:val="17"/>
          <w:szCs w:val="17"/>
        </w:rPr>
      </w:pPr>
    </w:p>
    <w:p w:rsidR="000767E5" w:rsidRDefault="000767E5" w:rsidP="000767E5">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Se informa </w:t>
      </w:r>
      <w:r w:rsidR="00EE0F53">
        <w:rPr>
          <w:rFonts w:ascii="Arial" w:eastAsia="Calibri" w:hAnsi="Arial" w:cs="Arial"/>
          <w:spacing w:val="-1"/>
          <w:sz w:val="17"/>
          <w:szCs w:val="17"/>
        </w:rPr>
        <w:t>qu</w:t>
      </w:r>
      <w:r w:rsidRPr="002D70DA">
        <w:rPr>
          <w:rFonts w:ascii="Arial" w:eastAsia="Calibri" w:hAnsi="Arial" w:cs="Arial"/>
          <w:spacing w:val="-1"/>
          <w:sz w:val="17"/>
          <w:szCs w:val="17"/>
        </w:rPr>
        <w:t xml:space="preserve">e el monto </w:t>
      </w:r>
      <w:r>
        <w:rPr>
          <w:rFonts w:ascii="Arial" w:eastAsia="Calibri" w:hAnsi="Arial" w:cs="Arial"/>
          <w:spacing w:val="-1"/>
          <w:sz w:val="17"/>
          <w:szCs w:val="17"/>
        </w:rPr>
        <w:t xml:space="preserve">al 31 de diciembre del </w:t>
      </w:r>
      <w:r w:rsidR="00FD7D84">
        <w:rPr>
          <w:rFonts w:ascii="Arial" w:eastAsia="Calibri" w:hAnsi="Arial" w:cs="Arial"/>
          <w:spacing w:val="-1"/>
          <w:sz w:val="17"/>
          <w:szCs w:val="17"/>
        </w:rPr>
        <w:t>2020</w:t>
      </w:r>
      <w:r w:rsidRPr="002D70DA">
        <w:rPr>
          <w:rFonts w:ascii="Arial" w:eastAsia="Calibri" w:hAnsi="Arial" w:cs="Arial"/>
          <w:spacing w:val="-1"/>
          <w:sz w:val="17"/>
          <w:szCs w:val="17"/>
        </w:rPr>
        <w:t xml:space="preserve"> de los recursos localizados en </w:t>
      </w:r>
      <w:r w:rsidRPr="000767E5">
        <w:rPr>
          <w:rFonts w:ascii="Arial" w:eastAsia="Calibri" w:hAnsi="Arial" w:cs="Arial"/>
          <w:spacing w:val="-1"/>
          <w:sz w:val="17"/>
          <w:szCs w:val="17"/>
        </w:rPr>
        <w:t>Provisiones a Corto Plazo</w:t>
      </w:r>
      <w:r w:rsidR="00EE0F53">
        <w:rPr>
          <w:rFonts w:ascii="Arial" w:eastAsia="Calibri" w:hAnsi="Arial" w:cs="Arial"/>
          <w:spacing w:val="-1"/>
          <w:sz w:val="17"/>
          <w:szCs w:val="17"/>
        </w:rPr>
        <w:t xml:space="preserve"> es de 180,000 y corresponden al </w:t>
      </w:r>
      <w:r w:rsidR="00EE0F53" w:rsidRPr="00EE0F53">
        <w:rPr>
          <w:rFonts w:ascii="Arial" w:eastAsia="Calibri" w:hAnsi="Arial" w:cs="Arial"/>
          <w:spacing w:val="-1"/>
          <w:sz w:val="17"/>
          <w:szCs w:val="17"/>
        </w:rPr>
        <w:t>Tribunal de Justicia Administrativa del Estado de Querétaro</w:t>
      </w:r>
      <w:r w:rsidR="00EE0F53">
        <w:rPr>
          <w:rFonts w:ascii="Arial" w:eastAsia="Calibri" w:hAnsi="Arial" w:cs="Arial"/>
          <w:spacing w:val="-1"/>
          <w:sz w:val="17"/>
          <w:szCs w:val="17"/>
        </w:rPr>
        <w:t>.</w:t>
      </w:r>
    </w:p>
    <w:p w:rsidR="000767E5" w:rsidRDefault="000767E5" w:rsidP="000767E5">
      <w:pPr>
        <w:rPr>
          <w:rFonts w:ascii="Arial" w:eastAsia="Calibri" w:hAnsi="Arial" w:cs="Arial"/>
          <w:spacing w:val="-1"/>
          <w:sz w:val="17"/>
          <w:szCs w:val="17"/>
        </w:rPr>
      </w:pPr>
    </w:p>
    <w:p w:rsidR="00C81F8A" w:rsidRDefault="00C81F8A">
      <w:pPr>
        <w:rPr>
          <w:rFonts w:ascii="Arial" w:eastAsia="Calibri" w:hAnsi="Arial" w:cs="Arial"/>
          <w:spacing w:val="-1"/>
          <w:sz w:val="17"/>
          <w:szCs w:val="17"/>
        </w:rPr>
      </w:pPr>
      <w:r>
        <w:rPr>
          <w:rFonts w:ascii="Arial" w:eastAsia="Calibri" w:hAnsi="Arial" w:cs="Arial"/>
          <w:spacing w:val="-1"/>
          <w:sz w:val="17"/>
          <w:szCs w:val="17"/>
        </w:rPr>
        <w:br w:type="page"/>
      </w:r>
    </w:p>
    <w:p w:rsidR="000767E5" w:rsidRDefault="000767E5" w:rsidP="000767E5">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lastRenderedPageBreak/>
        <w:t xml:space="preserve">Se informa de manera agrupada el monto </w:t>
      </w:r>
      <w:r>
        <w:rPr>
          <w:rFonts w:ascii="Arial" w:eastAsia="Calibri" w:hAnsi="Arial" w:cs="Arial"/>
          <w:spacing w:val="-1"/>
          <w:sz w:val="17"/>
          <w:szCs w:val="17"/>
        </w:rPr>
        <w:t xml:space="preserve">al 31 de diciembre del </w:t>
      </w:r>
      <w:r w:rsidR="00FD7D84">
        <w:rPr>
          <w:rFonts w:ascii="Arial" w:eastAsia="Calibri" w:hAnsi="Arial" w:cs="Arial"/>
          <w:spacing w:val="-1"/>
          <w:sz w:val="17"/>
          <w:szCs w:val="17"/>
        </w:rPr>
        <w:t>2020</w:t>
      </w:r>
      <w:r w:rsidRPr="002D70DA">
        <w:rPr>
          <w:rFonts w:ascii="Arial" w:eastAsia="Calibri" w:hAnsi="Arial" w:cs="Arial"/>
          <w:spacing w:val="-1"/>
          <w:sz w:val="17"/>
          <w:szCs w:val="17"/>
        </w:rPr>
        <w:t xml:space="preserve"> de los recursos localizados en </w:t>
      </w:r>
      <w:r w:rsidR="00CA646F" w:rsidRPr="00CA646F">
        <w:rPr>
          <w:rFonts w:ascii="Arial" w:eastAsia="Calibri" w:hAnsi="Arial" w:cs="Arial"/>
          <w:spacing w:val="-1"/>
          <w:sz w:val="17"/>
          <w:szCs w:val="17"/>
        </w:rPr>
        <w:t>Otros Pasivos a Corto Plazo</w:t>
      </w:r>
      <w:r>
        <w:rPr>
          <w:rFonts w:ascii="Arial" w:eastAsia="Calibri" w:hAnsi="Arial" w:cs="Arial"/>
          <w:spacing w:val="-1"/>
          <w:sz w:val="17"/>
          <w:szCs w:val="17"/>
        </w:rPr>
        <w:t>:</w:t>
      </w:r>
    </w:p>
    <w:p w:rsidR="000767E5" w:rsidRDefault="000767E5" w:rsidP="000767E5">
      <w:pPr>
        <w:autoSpaceDE w:val="0"/>
        <w:autoSpaceDN w:val="0"/>
        <w:adjustRightInd w:val="0"/>
        <w:spacing w:before="240" w:after="120"/>
        <w:ind w:left="360"/>
        <w:jc w:val="center"/>
        <w:rPr>
          <w:rFonts w:ascii="Arial" w:eastAsia="Calibri" w:hAnsi="Arial" w:cs="Arial"/>
          <w:b/>
          <w:spacing w:val="-1"/>
          <w:sz w:val="17"/>
          <w:szCs w:val="17"/>
        </w:rPr>
      </w:pPr>
      <w:r w:rsidRPr="005540CE">
        <w:rPr>
          <w:rFonts w:ascii="Arial" w:eastAsia="Calibri" w:hAnsi="Arial" w:cs="Arial"/>
          <w:b/>
          <w:spacing w:val="-1"/>
          <w:sz w:val="17"/>
          <w:szCs w:val="17"/>
        </w:rPr>
        <w:t>(Pesos)</w:t>
      </w:r>
    </w:p>
    <w:tbl>
      <w:tblPr>
        <w:tblW w:w="8987" w:type="dxa"/>
        <w:jc w:val="center"/>
        <w:tblCellMar>
          <w:left w:w="70" w:type="dxa"/>
          <w:right w:w="70" w:type="dxa"/>
        </w:tblCellMar>
        <w:tblLook w:val="04A0" w:firstRow="1" w:lastRow="0" w:firstColumn="1" w:lastColumn="0" w:noHBand="0" w:noVBand="1"/>
      </w:tblPr>
      <w:tblGrid>
        <w:gridCol w:w="4746"/>
        <w:gridCol w:w="2092"/>
        <w:gridCol w:w="2149"/>
      </w:tblGrid>
      <w:tr w:rsidR="002B305E" w:rsidRPr="002D70DA" w:rsidTr="007870F9">
        <w:trPr>
          <w:trHeight w:val="480"/>
          <w:jc w:val="center"/>
        </w:trPr>
        <w:tc>
          <w:tcPr>
            <w:tcW w:w="474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2B305E" w:rsidRPr="002D70DA" w:rsidRDefault="002B305E" w:rsidP="00F338A3">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2" w:type="dxa"/>
            <w:tcBorders>
              <w:top w:val="single" w:sz="4" w:space="0" w:color="auto"/>
              <w:left w:val="nil"/>
              <w:bottom w:val="single" w:sz="4" w:space="0" w:color="auto"/>
              <w:right w:val="single" w:sz="4" w:space="0" w:color="auto"/>
            </w:tcBorders>
            <w:shd w:val="clear" w:color="auto" w:fill="D5DCE4" w:themeFill="text2" w:themeFillTint="33"/>
            <w:vAlign w:val="center"/>
          </w:tcPr>
          <w:p w:rsidR="002B305E"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2020</w:t>
            </w:r>
          </w:p>
        </w:tc>
        <w:tc>
          <w:tcPr>
            <w:tcW w:w="214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2B305E"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2019</w:t>
            </w:r>
          </w:p>
        </w:tc>
      </w:tr>
      <w:tr w:rsidR="007870F9" w:rsidRPr="002D70DA" w:rsidTr="007870F9">
        <w:trPr>
          <w:trHeight w:val="240"/>
          <w:jc w:val="center"/>
        </w:trPr>
        <w:tc>
          <w:tcPr>
            <w:tcW w:w="4746" w:type="dxa"/>
            <w:tcBorders>
              <w:top w:val="nil"/>
              <w:left w:val="single" w:sz="4" w:space="0" w:color="auto"/>
              <w:bottom w:val="single" w:sz="4" w:space="0" w:color="auto"/>
              <w:right w:val="single" w:sz="4" w:space="0" w:color="auto"/>
            </w:tcBorders>
            <w:shd w:val="clear" w:color="auto" w:fill="auto"/>
          </w:tcPr>
          <w:p w:rsidR="007870F9" w:rsidRPr="001C3A28" w:rsidRDefault="007870F9" w:rsidP="007870F9">
            <w:pPr>
              <w:rPr>
                <w:rFonts w:ascii="Arial" w:hAnsi="Arial" w:cs="Arial"/>
                <w:sz w:val="17"/>
                <w:szCs w:val="17"/>
              </w:rPr>
            </w:pPr>
            <w:r w:rsidRPr="001C3A28">
              <w:rPr>
                <w:rFonts w:ascii="Arial" w:hAnsi="Arial" w:cs="Arial"/>
                <w:sz w:val="17"/>
                <w:szCs w:val="17"/>
              </w:rPr>
              <w:t>Ingresos por Clasificar</w:t>
            </w:r>
          </w:p>
        </w:tc>
        <w:tc>
          <w:tcPr>
            <w:tcW w:w="2092" w:type="dxa"/>
            <w:tcBorders>
              <w:top w:val="single" w:sz="4" w:space="0" w:color="auto"/>
              <w:left w:val="nil"/>
              <w:bottom w:val="single" w:sz="4" w:space="0" w:color="auto"/>
              <w:right w:val="single" w:sz="4" w:space="0" w:color="auto"/>
            </w:tcBorders>
            <w:shd w:val="clear" w:color="auto" w:fill="auto"/>
          </w:tcPr>
          <w:p w:rsidR="007870F9" w:rsidRPr="007870F9" w:rsidRDefault="007870F9" w:rsidP="007870F9">
            <w:pPr>
              <w:jc w:val="right"/>
              <w:rPr>
                <w:rFonts w:ascii="Arial" w:hAnsi="Arial" w:cs="Arial"/>
                <w:sz w:val="17"/>
                <w:szCs w:val="17"/>
              </w:rPr>
            </w:pPr>
            <w:r w:rsidRPr="007870F9">
              <w:rPr>
                <w:rFonts w:ascii="Arial" w:hAnsi="Arial" w:cs="Arial"/>
                <w:sz w:val="17"/>
                <w:szCs w:val="17"/>
              </w:rPr>
              <w:t xml:space="preserve">442,673 </w:t>
            </w:r>
          </w:p>
        </w:tc>
        <w:tc>
          <w:tcPr>
            <w:tcW w:w="2149" w:type="dxa"/>
            <w:tcBorders>
              <w:top w:val="nil"/>
              <w:left w:val="single" w:sz="4" w:space="0" w:color="auto"/>
              <w:bottom w:val="single" w:sz="4" w:space="0" w:color="auto"/>
              <w:right w:val="single" w:sz="4" w:space="0" w:color="auto"/>
            </w:tcBorders>
            <w:shd w:val="clear" w:color="auto" w:fill="auto"/>
          </w:tcPr>
          <w:p w:rsidR="007870F9" w:rsidRPr="007870F9" w:rsidRDefault="007870F9" w:rsidP="007870F9">
            <w:pPr>
              <w:jc w:val="right"/>
              <w:rPr>
                <w:rFonts w:ascii="Arial" w:hAnsi="Arial" w:cs="Arial"/>
                <w:sz w:val="17"/>
                <w:szCs w:val="17"/>
              </w:rPr>
            </w:pPr>
            <w:r w:rsidRPr="007870F9">
              <w:rPr>
                <w:rFonts w:ascii="Arial" w:hAnsi="Arial" w:cs="Arial"/>
                <w:sz w:val="17"/>
                <w:szCs w:val="17"/>
              </w:rPr>
              <w:t xml:space="preserve"> 135,837 </w:t>
            </w:r>
          </w:p>
        </w:tc>
      </w:tr>
      <w:tr w:rsidR="007870F9" w:rsidRPr="002D70DA" w:rsidTr="007870F9">
        <w:trPr>
          <w:trHeight w:val="240"/>
          <w:jc w:val="center"/>
        </w:trPr>
        <w:tc>
          <w:tcPr>
            <w:tcW w:w="4746" w:type="dxa"/>
            <w:tcBorders>
              <w:top w:val="single" w:sz="4" w:space="0" w:color="auto"/>
              <w:left w:val="single" w:sz="4" w:space="0" w:color="auto"/>
              <w:bottom w:val="single" w:sz="4" w:space="0" w:color="auto"/>
              <w:right w:val="single" w:sz="4" w:space="0" w:color="auto"/>
            </w:tcBorders>
            <w:shd w:val="clear" w:color="auto" w:fill="auto"/>
          </w:tcPr>
          <w:p w:rsidR="007870F9" w:rsidRPr="001C3A28" w:rsidRDefault="007870F9" w:rsidP="007870F9">
            <w:pPr>
              <w:rPr>
                <w:rFonts w:ascii="Arial" w:hAnsi="Arial" w:cs="Arial"/>
                <w:sz w:val="17"/>
                <w:szCs w:val="17"/>
              </w:rPr>
            </w:pPr>
            <w:r w:rsidRPr="001C3A28">
              <w:rPr>
                <w:rFonts w:ascii="Arial" w:hAnsi="Arial" w:cs="Arial"/>
                <w:sz w:val="17"/>
                <w:szCs w:val="17"/>
              </w:rPr>
              <w:t>Recaudación por Participar</w:t>
            </w:r>
          </w:p>
        </w:tc>
        <w:tc>
          <w:tcPr>
            <w:tcW w:w="2092" w:type="dxa"/>
            <w:tcBorders>
              <w:top w:val="single" w:sz="4" w:space="0" w:color="auto"/>
              <w:left w:val="nil"/>
              <w:bottom w:val="single" w:sz="4" w:space="0" w:color="auto"/>
              <w:right w:val="single" w:sz="4" w:space="0" w:color="auto"/>
            </w:tcBorders>
            <w:shd w:val="clear" w:color="auto" w:fill="auto"/>
          </w:tcPr>
          <w:p w:rsidR="007870F9" w:rsidRPr="007870F9" w:rsidRDefault="007870F9" w:rsidP="007870F9">
            <w:pPr>
              <w:jc w:val="right"/>
              <w:rPr>
                <w:rFonts w:ascii="Arial" w:hAnsi="Arial" w:cs="Arial"/>
                <w:sz w:val="17"/>
                <w:szCs w:val="17"/>
              </w:rPr>
            </w:pPr>
            <w:r w:rsidRPr="007870F9">
              <w:rPr>
                <w:rFonts w:ascii="Arial" w:hAnsi="Arial" w:cs="Arial"/>
                <w:sz w:val="17"/>
                <w:szCs w:val="17"/>
              </w:rPr>
              <w:t xml:space="preserve">46,818,665 </w:t>
            </w: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7870F9" w:rsidRPr="007870F9" w:rsidRDefault="007870F9" w:rsidP="007870F9">
            <w:pPr>
              <w:jc w:val="right"/>
              <w:rPr>
                <w:rFonts w:ascii="Arial" w:hAnsi="Arial" w:cs="Arial"/>
                <w:sz w:val="17"/>
                <w:szCs w:val="17"/>
              </w:rPr>
            </w:pPr>
            <w:r w:rsidRPr="007870F9">
              <w:rPr>
                <w:rFonts w:ascii="Arial" w:hAnsi="Arial" w:cs="Arial"/>
                <w:sz w:val="17"/>
                <w:szCs w:val="17"/>
              </w:rPr>
              <w:t xml:space="preserve"> 45,569,827 </w:t>
            </w:r>
          </w:p>
        </w:tc>
      </w:tr>
      <w:tr w:rsidR="007870F9" w:rsidRPr="002D70DA" w:rsidTr="007870F9">
        <w:trPr>
          <w:trHeight w:val="240"/>
          <w:jc w:val="center"/>
        </w:trPr>
        <w:tc>
          <w:tcPr>
            <w:tcW w:w="4746" w:type="dxa"/>
            <w:tcBorders>
              <w:top w:val="single" w:sz="4" w:space="0" w:color="auto"/>
              <w:right w:val="single" w:sz="4" w:space="0" w:color="auto"/>
            </w:tcBorders>
            <w:shd w:val="clear" w:color="auto" w:fill="auto"/>
            <w:vAlign w:val="center"/>
          </w:tcPr>
          <w:p w:rsidR="007870F9" w:rsidRPr="00F93CE5" w:rsidRDefault="007870F9" w:rsidP="007870F9">
            <w:pPr>
              <w:jc w:val="center"/>
              <w:rPr>
                <w:rFonts w:ascii="Arial" w:hAnsi="Arial" w:cs="Arial"/>
                <w:b/>
                <w:bCs/>
                <w:color w:val="000000"/>
                <w:sz w:val="17"/>
                <w:szCs w:val="17"/>
              </w:rPr>
            </w:pPr>
            <w:r w:rsidRPr="00F93CE5">
              <w:rPr>
                <w:rFonts w:ascii="Arial" w:hAnsi="Arial" w:cs="Arial"/>
                <w:b/>
                <w:bCs/>
                <w:color w:val="000000"/>
                <w:sz w:val="17"/>
                <w:szCs w:val="17"/>
              </w:rPr>
              <w:t>Total</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7870F9" w:rsidRPr="001C3A28" w:rsidRDefault="007870F9" w:rsidP="007870F9">
            <w:pPr>
              <w:jc w:val="right"/>
              <w:rPr>
                <w:rFonts w:ascii="Arial" w:hAnsi="Arial" w:cs="Arial"/>
                <w:b/>
                <w:sz w:val="17"/>
                <w:szCs w:val="17"/>
              </w:rPr>
            </w:pPr>
            <w:r w:rsidRPr="007870F9">
              <w:rPr>
                <w:rFonts w:ascii="Arial" w:hAnsi="Arial" w:cs="Arial"/>
                <w:b/>
                <w:sz w:val="17"/>
                <w:szCs w:val="17"/>
              </w:rPr>
              <w:t>47,261,338</w:t>
            </w: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7870F9" w:rsidRPr="007870F9" w:rsidRDefault="007870F9" w:rsidP="007870F9">
            <w:pPr>
              <w:jc w:val="right"/>
              <w:rPr>
                <w:rFonts w:ascii="Arial" w:hAnsi="Arial" w:cs="Arial"/>
                <w:b/>
                <w:sz w:val="17"/>
                <w:szCs w:val="17"/>
              </w:rPr>
            </w:pPr>
            <w:r w:rsidRPr="007870F9">
              <w:rPr>
                <w:rFonts w:ascii="Arial" w:hAnsi="Arial" w:cs="Arial"/>
                <w:b/>
                <w:sz w:val="17"/>
                <w:szCs w:val="17"/>
              </w:rPr>
              <w:t xml:space="preserve"> 45,705,665 </w:t>
            </w:r>
          </w:p>
        </w:tc>
      </w:tr>
    </w:tbl>
    <w:p w:rsidR="000767E5" w:rsidRDefault="00901BE2" w:rsidP="000767E5">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El cual corresponde al Poder Ejecutivo del Estado.</w:t>
      </w:r>
    </w:p>
    <w:p w:rsidR="000767E5" w:rsidRDefault="000767E5" w:rsidP="000767E5">
      <w:pPr>
        <w:rPr>
          <w:rFonts w:ascii="Arial" w:eastAsia="Calibri" w:hAnsi="Arial" w:cs="Arial"/>
          <w:spacing w:val="-1"/>
          <w:sz w:val="17"/>
          <w:szCs w:val="17"/>
        </w:rPr>
      </w:pPr>
    </w:p>
    <w:p w:rsidR="008E56D7" w:rsidRDefault="008E56D7" w:rsidP="000767E5">
      <w:pPr>
        <w:rPr>
          <w:rFonts w:ascii="Arial" w:eastAsia="Calibri" w:hAnsi="Arial" w:cs="Arial"/>
          <w:spacing w:val="-1"/>
          <w:sz w:val="17"/>
          <w:szCs w:val="17"/>
        </w:rPr>
      </w:pPr>
    </w:p>
    <w:p w:rsidR="00D318DD" w:rsidRDefault="00D318DD" w:rsidP="00D318DD">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Se informa de manera agrupada el monto </w:t>
      </w:r>
      <w:r>
        <w:rPr>
          <w:rFonts w:ascii="Arial" w:eastAsia="Calibri" w:hAnsi="Arial" w:cs="Arial"/>
          <w:spacing w:val="-1"/>
          <w:sz w:val="17"/>
          <w:szCs w:val="17"/>
        </w:rPr>
        <w:t xml:space="preserve">al 31 de diciembre del </w:t>
      </w:r>
      <w:r w:rsidR="00FD7D84">
        <w:rPr>
          <w:rFonts w:ascii="Arial" w:eastAsia="Calibri" w:hAnsi="Arial" w:cs="Arial"/>
          <w:spacing w:val="-1"/>
          <w:sz w:val="17"/>
          <w:szCs w:val="17"/>
        </w:rPr>
        <w:t>2020</w:t>
      </w:r>
      <w:r w:rsidRPr="002D70DA">
        <w:rPr>
          <w:rFonts w:ascii="Arial" w:eastAsia="Calibri" w:hAnsi="Arial" w:cs="Arial"/>
          <w:spacing w:val="-1"/>
          <w:sz w:val="17"/>
          <w:szCs w:val="17"/>
        </w:rPr>
        <w:t xml:space="preserve"> de los recursos localizados en </w:t>
      </w:r>
      <w:r>
        <w:rPr>
          <w:rFonts w:ascii="Arial" w:eastAsia="Calibri" w:hAnsi="Arial" w:cs="Arial"/>
          <w:spacing w:val="-1"/>
          <w:sz w:val="17"/>
          <w:szCs w:val="17"/>
        </w:rPr>
        <w:t>Deuda Pública a Largo Plazo:</w:t>
      </w:r>
    </w:p>
    <w:p w:rsidR="00D318DD" w:rsidRDefault="00D318DD" w:rsidP="00D318DD">
      <w:pPr>
        <w:autoSpaceDE w:val="0"/>
        <w:autoSpaceDN w:val="0"/>
        <w:adjustRightInd w:val="0"/>
        <w:spacing w:before="240" w:after="120"/>
        <w:ind w:left="360"/>
        <w:jc w:val="center"/>
        <w:rPr>
          <w:rFonts w:ascii="Arial" w:eastAsia="Calibri" w:hAnsi="Arial" w:cs="Arial"/>
          <w:b/>
          <w:spacing w:val="-1"/>
          <w:sz w:val="17"/>
          <w:szCs w:val="17"/>
        </w:rPr>
      </w:pPr>
      <w:r w:rsidRPr="005540CE">
        <w:rPr>
          <w:rFonts w:ascii="Arial" w:eastAsia="Calibri" w:hAnsi="Arial" w:cs="Arial"/>
          <w:b/>
          <w:spacing w:val="-1"/>
          <w:sz w:val="17"/>
          <w:szCs w:val="17"/>
        </w:rPr>
        <w:t>(Pesos)</w:t>
      </w:r>
    </w:p>
    <w:tbl>
      <w:tblPr>
        <w:tblW w:w="8982" w:type="dxa"/>
        <w:jc w:val="center"/>
        <w:tblCellMar>
          <w:left w:w="70" w:type="dxa"/>
          <w:right w:w="70" w:type="dxa"/>
        </w:tblCellMar>
        <w:tblLook w:val="04A0" w:firstRow="1" w:lastRow="0" w:firstColumn="1" w:lastColumn="0" w:noHBand="0" w:noVBand="1"/>
      </w:tblPr>
      <w:tblGrid>
        <w:gridCol w:w="4743"/>
        <w:gridCol w:w="2091"/>
        <w:gridCol w:w="2148"/>
      </w:tblGrid>
      <w:tr w:rsidR="00D318DD" w:rsidRPr="002D70DA" w:rsidTr="00F338A3">
        <w:trPr>
          <w:trHeight w:val="480"/>
          <w:jc w:val="center"/>
        </w:trPr>
        <w:tc>
          <w:tcPr>
            <w:tcW w:w="47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318DD" w:rsidRPr="002D70DA" w:rsidRDefault="00D318DD" w:rsidP="00F338A3">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1" w:type="dxa"/>
            <w:tcBorders>
              <w:top w:val="single" w:sz="4" w:space="0" w:color="auto"/>
              <w:left w:val="nil"/>
              <w:bottom w:val="single" w:sz="4" w:space="0" w:color="auto"/>
              <w:right w:val="single" w:sz="4" w:space="0" w:color="auto"/>
            </w:tcBorders>
            <w:shd w:val="clear" w:color="auto" w:fill="D5DCE4" w:themeFill="text2" w:themeFillTint="33"/>
            <w:vAlign w:val="center"/>
          </w:tcPr>
          <w:p w:rsidR="00D318DD"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2020</w:t>
            </w:r>
          </w:p>
        </w:tc>
        <w:tc>
          <w:tcPr>
            <w:tcW w:w="214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318DD"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2019</w:t>
            </w:r>
          </w:p>
        </w:tc>
      </w:tr>
      <w:tr w:rsidR="00873A64" w:rsidRPr="002D70DA" w:rsidTr="00F338A3">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873A64" w:rsidRPr="00D0107E" w:rsidRDefault="00873A64" w:rsidP="00873A64">
            <w:pPr>
              <w:rPr>
                <w:rFonts w:ascii="Arial" w:hAnsi="Arial" w:cs="Arial"/>
                <w:sz w:val="17"/>
                <w:szCs w:val="17"/>
              </w:rPr>
            </w:pPr>
            <w:r w:rsidRPr="00D318DD">
              <w:rPr>
                <w:rFonts w:ascii="Arial" w:hAnsi="Arial" w:cs="Arial"/>
                <w:sz w:val="17"/>
                <w:szCs w:val="17"/>
              </w:rPr>
              <w:t>Préstamos de la Deuda Pública Interna por Pagar a Largo Plazo</w:t>
            </w:r>
          </w:p>
        </w:tc>
        <w:tc>
          <w:tcPr>
            <w:tcW w:w="2091" w:type="dxa"/>
            <w:tcBorders>
              <w:top w:val="single" w:sz="4" w:space="0" w:color="auto"/>
              <w:left w:val="nil"/>
              <w:bottom w:val="single" w:sz="4" w:space="0" w:color="auto"/>
              <w:right w:val="single" w:sz="4" w:space="0" w:color="auto"/>
            </w:tcBorders>
            <w:shd w:val="clear" w:color="auto" w:fill="auto"/>
          </w:tcPr>
          <w:p w:rsidR="00873A64" w:rsidRPr="00873A64" w:rsidRDefault="00DC0728" w:rsidP="00873A64">
            <w:pPr>
              <w:jc w:val="right"/>
              <w:rPr>
                <w:rFonts w:ascii="Arial" w:hAnsi="Arial" w:cs="Arial"/>
                <w:b/>
                <w:sz w:val="17"/>
                <w:szCs w:val="17"/>
              </w:rPr>
            </w:pPr>
            <w:r w:rsidRPr="00DC0728">
              <w:rPr>
                <w:rFonts w:ascii="Arial" w:hAnsi="Arial" w:cs="Arial"/>
                <w:b/>
                <w:sz w:val="17"/>
                <w:szCs w:val="17"/>
              </w:rPr>
              <w:t>72,422,769</w:t>
            </w:r>
          </w:p>
        </w:tc>
        <w:tc>
          <w:tcPr>
            <w:tcW w:w="2148" w:type="dxa"/>
            <w:tcBorders>
              <w:top w:val="nil"/>
              <w:left w:val="single" w:sz="4" w:space="0" w:color="auto"/>
              <w:bottom w:val="single" w:sz="4" w:space="0" w:color="auto"/>
              <w:right w:val="single" w:sz="4" w:space="0" w:color="auto"/>
            </w:tcBorders>
            <w:shd w:val="clear" w:color="auto" w:fill="auto"/>
          </w:tcPr>
          <w:p w:rsidR="00873A64" w:rsidRPr="00873A64" w:rsidRDefault="00DC0728" w:rsidP="00873A64">
            <w:pPr>
              <w:jc w:val="right"/>
              <w:rPr>
                <w:rFonts w:ascii="Arial" w:hAnsi="Arial" w:cs="Arial"/>
                <w:b/>
                <w:sz w:val="17"/>
                <w:szCs w:val="17"/>
              </w:rPr>
            </w:pPr>
            <w:r w:rsidRPr="00DC0728">
              <w:rPr>
                <w:rFonts w:ascii="Arial" w:hAnsi="Arial" w:cs="Arial"/>
                <w:b/>
                <w:sz w:val="17"/>
                <w:szCs w:val="17"/>
              </w:rPr>
              <w:t>166,420,180</w:t>
            </w:r>
          </w:p>
        </w:tc>
      </w:tr>
    </w:tbl>
    <w:p w:rsidR="00D318DD" w:rsidRDefault="00D318DD" w:rsidP="00D318DD">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El cual corresponde al Poder Ejecutivo del Estado de Querétaro.</w:t>
      </w:r>
      <w:r w:rsidR="00B54DC8">
        <w:rPr>
          <w:rFonts w:ascii="Arial" w:eastAsia="Calibri" w:hAnsi="Arial" w:cs="Arial"/>
          <w:spacing w:val="-1"/>
          <w:sz w:val="17"/>
          <w:szCs w:val="17"/>
        </w:rPr>
        <w:t xml:space="preserve"> </w:t>
      </w:r>
      <w:r w:rsidR="00B54DC8" w:rsidRPr="00B54DC8">
        <w:rPr>
          <w:rFonts w:ascii="Arial" w:eastAsia="Calibri" w:hAnsi="Arial" w:cs="Arial"/>
          <w:spacing w:val="-1"/>
          <w:sz w:val="17"/>
          <w:szCs w:val="17"/>
        </w:rPr>
        <w:t xml:space="preserve">Destaca </w:t>
      </w:r>
      <w:r w:rsidR="00B54DC8">
        <w:rPr>
          <w:rFonts w:ascii="Arial" w:eastAsia="Calibri" w:hAnsi="Arial" w:cs="Arial"/>
          <w:spacing w:val="-1"/>
          <w:sz w:val="17"/>
          <w:szCs w:val="17"/>
        </w:rPr>
        <w:t xml:space="preserve">los </w:t>
      </w:r>
      <w:r w:rsidR="00B54DC8" w:rsidRPr="00B54DC8">
        <w:rPr>
          <w:rFonts w:ascii="Arial" w:eastAsia="Calibri" w:hAnsi="Arial" w:cs="Arial"/>
          <w:spacing w:val="-1"/>
          <w:sz w:val="17"/>
          <w:szCs w:val="17"/>
        </w:rPr>
        <w:t>prepagos realizados</w:t>
      </w:r>
      <w:r w:rsidR="00B54DC8">
        <w:rPr>
          <w:rFonts w:ascii="Arial" w:eastAsia="Calibri" w:hAnsi="Arial" w:cs="Arial"/>
          <w:spacing w:val="-1"/>
          <w:sz w:val="17"/>
          <w:szCs w:val="17"/>
        </w:rPr>
        <w:t>.</w:t>
      </w:r>
    </w:p>
    <w:p w:rsidR="00D318DD" w:rsidRDefault="00D318DD" w:rsidP="000767E5">
      <w:pPr>
        <w:spacing w:before="80" w:line="250" w:lineRule="exact"/>
        <w:ind w:left="709"/>
        <w:jc w:val="both"/>
        <w:rPr>
          <w:rFonts w:ascii="Arial" w:eastAsia="Calibri" w:hAnsi="Arial" w:cs="Arial"/>
          <w:spacing w:val="-1"/>
          <w:sz w:val="17"/>
          <w:szCs w:val="17"/>
        </w:rPr>
      </w:pPr>
    </w:p>
    <w:p w:rsidR="00024517" w:rsidRDefault="00024517" w:rsidP="000767E5">
      <w:pPr>
        <w:spacing w:before="80" w:line="250" w:lineRule="exact"/>
        <w:ind w:left="709"/>
        <w:jc w:val="both"/>
        <w:rPr>
          <w:rFonts w:ascii="Arial" w:eastAsia="Calibri" w:hAnsi="Arial" w:cs="Arial"/>
          <w:spacing w:val="-1"/>
          <w:sz w:val="17"/>
          <w:szCs w:val="17"/>
        </w:rPr>
      </w:pPr>
    </w:p>
    <w:p w:rsidR="009010CC" w:rsidRPr="008918A4" w:rsidRDefault="009010CC" w:rsidP="009010CC">
      <w:pPr>
        <w:spacing w:before="80" w:line="250" w:lineRule="exact"/>
        <w:ind w:left="709"/>
        <w:jc w:val="both"/>
        <w:rPr>
          <w:rFonts w:ascii="Arial" w:eastAsia="Calibri" w:hAnsi="Arial" w:cs="Arial"/>
          <w:spacing w:val="-1"/>
          <w:sz w:val="17"/>
          <w:szCs w:val="17"/>
        </w:rPr>
      </w:pPr>
      <w:r w:rsidRPr="008918A4">
        <w:rPr>
          <w:rFonts w:ascii="Arial" w:eastAsia="Calibri" w:hAnsi="Arial" w:cs="Arial"/>
          <w:spacing w:val="-1"/>
          <w:sz w:val="17"/>
          <w:szCs w:val="17"/>
        </w:rPr>
        <w:t>Se informa de manera agrupada por cuenta</w:t>
      </w:r>
      <w:r>
        <w:rPr>
          <w:rFonts w:ascii="Arial" w:eastAsia="Calibri" w:hAnsi="Arial" w:cs="Arial"/>
          <w:spacing w:val="-1"/>
          <w:sz w:val="17"/>
          <w:szCs w:val="17"/>
        </w:rPr>
        <w:t xml:space="preserve"> </w:t>
      </w:r>
      <w:r w:rsidRPr="008918A4">
        <w:rPr>
          <w:rFonts w:ascii="Arial" w:eastAsia="Calibri" w:hAnsi="Arial" w:cs="Arial"/>
          <w:spacing w:val="-1"/>
          <w:sz w:val="17"/>
          <w:szCs w:val="17"/>
        </w:rPr>
        <w:t xml:space="preserve">el monto al 31 de diciembre del </w:t>
      </w:r>
      <w:r w:rsidR="00FD7D84">
        <w:rPr>
          <w:rFonts w:ascii="Arial" w:eastAsia="Calibri" w:hAnsi="Arial" w:cs="Arial"/>
          <w:spacing w:val="-1"/>
          <w:sz w:val="17"/>
          <w:szCs w:val="17"/>
        </w:rPr>
        <w:t>2020</w:t>
      </w:r>
      <w:r>
        <w:rPr>
          <w:rFonts w:ascii="Arial" w:eastAsia="Calibri" w:hAnsi="Arial" w:cs="Arial"/>
          <w:spacing w:val="-1"/>
          <w:sz w:val="17"/>
          <w:szCs w:val="17"/>
        </w:rPr>
        <w:t xml:space="preserve"> d</w:t>
      </w:r>
      <w:r w:rsidRPr="008918A4">
        <w:rPr>
          <w:rFonts w:ascii="Arial" w:eastAsia="Calibri" w:hAnsi="Arial" w:cs="Arial"/>
          <w:spacing w:val="-1"/>
          <w:sz w:val="17"/>
          <w:szCs w:val="17"/>
        </w:rPr>
        <w:t xml:space="preserve">el rubro de </w:t>
      </w:r>
      <w:r w:rsidRPr="009010CC">
        <w:rPr>
          <w:rFonts w:ascii="Arial" w:eastAsia="Calibri" w:hAnsi="Arial" w:cs="Arial"/>
          <w:spacing w:val="-1"/>
          <w:sz w:val="17"/>
          <w:szCs w:val="17"/>
        </w:rPr>
        <w:t>Fondos y Bienes de Terceros en Garantía y/o en Administración a Largo Plazo</w:t>
      </w:r>
      <w:r>
        <w:rPr>
          <w:rFonts w:ascii="Arial" w:eastAsia="Calibri" w:hAnsi="Arial" w:cs="Arial"/>
          <w:spacing w:val="-1"/>
          <w:sz w:val="17"/>
          <w:szCs w:val="17"/>
        </w:rPr>
        <w:t>:</w:t>
      </w:r>
    </w:p>
    <w:p w:rsidR="009010CC" w:rsidRPr="005540CE" w:rsidRDefault="009010CC" w:rsidP="009010CC">
      <w:pPr>
        <w:autoSpaceDE w:val="0"/>
        <w:autoSpaceDN w:val="0"/>
        <w:adjustRightInd w:val="0"/>
        <w:spacing w:before="240" w:after="120"/>
        <w:ind w:left="360"/>
        <w:jc w:val="center"/>
        <w:rPr>
          <w:rFonts w:ascii="Arial" w:eastAsia="Calibri" w:hAnsi="Arial" w:cs="Arial"/>
          <w:b/>
          <w:spacing w:val="-1"/>
          <w:sz w:val="17"/>
          <w:szCs w:val="17"/>
        </w:rPr>
      </w:pPr>
      <w:r w:rsidRPr="005540CE">
        <w:rPr>
          <w:rFonts w:ascii="Arial" w:eastAsia="Calibri" w:hAnsi="Arial" w:cs="Arial"/>
          <w:b/>
          <w:spacing w:val="-1"/>
          <w:sz w:val="17"/>
          <w:szCs w:val="17"/>
        </w:rPr>
        <w:t>(Pesos)</w:t>
      </w:r>
    </w:p>
    <w:tbl>
      <w:tblPr>
        <w:tblW w:w="8982" w:type="dxa"/>
        <w:jc w:val="center"/>
        <w:tblCellMar>
          <w:left w:w="70" w:type="dxa"/>
          <w:right w:w="70" w:type="dxa"/>
        </w:tblCellMar>
        <w:tblLook w:val="04A0" w:firstRow="1" w:lastRow="0" w:firstColumn="1" w:lastColumn="0" w:noHBand="0" w:noVBand="1"/>
      </w:tblPr>
      <w:tblGrid>
        <w:gridCol w:w="4743"/>
        <w:gridCol w:w="2091"/>
        <w:gridCol w:w="2148"/>
      </w:tblGrid>
      <w:tr w:rsidR="009010CC" w:rsidRPr="002D70DA" w:rsidTr="00746640">
        <w:trPr>
          <w:trHeight w:val="480"/>
          <w:jc w:val="center"/>
        </w:trPr>
        <w:tc>
          <w:tcPr>
            <w:tcW w:w="47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9010CC" w:rsidRPr="002D70DA" w:rsidRDefault="009010CC" w:rsidP="00C34218">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1" w:type="dxa"/>
            <w:tcBorders>
              <w:top w:val="single" w:sz="4" w:space="0" w:color="auto"/>
              <w:left w:val="nil"/>
              <w:bottom w:val="single" w:sz="4" w:space="0" w:color="auto"/>
              <w:right w:val="single" w:sz="4" w:space="0" w:color="auto"/>
            </w:tcBorders>
            <w:shd w:val="clear" w:color="auto" w:fill="D5DCE4" w:themeFill="text2" w:themeFillTint="33"/>
            <w:vAlign w:val="center"/>
          </w:tcPr>
          <w:p w:rsidR="009010CC" w:rsidRPr="002D70DA" w:rsidRDefault="00FD7D84" w:rsidP="00C34218">
            <w:pPr>
              <w:jc w:val="center"/>
              <w:rPr>
                <w:rFonts w:ascii="Arial" w:hAnsi="Arial" w:cs="Arial"/>
                <w:b/>
                <w:bCs/>
                <w:color w:val="000000"/>
                <w:sz w:val="17"/>
                <w:szCs w:val="17"/>
              </w:rPr>
            </w:pPr>
            <w:r>
              <w:rPr>
                <w:rFonts w:ascii="Arial" w:hAnsi="Arial" w:cs="Arial"/>
                <w:b/>
                <w:bCs/>
                <w:color w:val="000000"/>
                <w:sz w:val="17"/>
                <w:szCs w:val="17"/>
              </w:rPr>
              <w:t>2020</w:t>
            </w:r>
          </w:p>
        </w:tc>
        <w:tc>
          <w:tcPr>
            <w:tcW w:w="214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9010CC" w:rsidRPr="002D70DA" w:rsidRDefault="00FD7D84" w:rsidP="00C34218">
            <w:pPr>
              <w:jc w:val="center"/>
              <w:rPr>
                <w:rFonts w:ascii="Arial" w:hAnsi="Arial" w:cs="Arial"/>
                <w:b/>
                <w:bCs/>
                <w:color w:val="000000"/>
                <w:sz w:val="17"/>
                <w:szCs w:val="17"/>
              </w:rPr>
            </w:pPr>
            <w:r>
              <w:rPr>
                <w:rFonts w:ascii="Arial" w:hAnsi="Arial" w:cs="Arial"/>
                <w:b/>
                <w:bCs/>
                <w:color w:val="000000"/>
                <w:sz w:val="17"/>
                <w:szCs w:val="17"/>
              </w:rPr>
              <w:t>2019</w:t>
            </w:r>
          </w:p>
        </w:tc>
      </w:tr>
      <w:tr w:rsidR="00746640" w:rsidRPr="002D70DA" w:rsidTr="00746640">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746640" w:rsidRPr="00C931EE" w:rsidRDefault="00746640" w:rsidP="00746640">
            <w:pPr>
              <w:rPr>
                <w:rFonts w:ascii="Arial" w:hAnsi="Arial" w:cs="Arial"/>
                <w:sz w:val="17"/>
                <w:szCs w:val="17"/>
              </w:rPr>
            </w:pPr>
            <w:r w:rsidRPr="00C931EE">
              <w:rPr>
                <w:rFonts w:ascii="Arial" w:hAnsi="Arial" w:cs="Arial"/>
                <w:sz w:val="17"/>
                <w:szCs w:val="17"/>
              </w:rPr>
              <w:t>Fondos en Garantía a Largo Plazo</w:t>
            </w:r>
          </w:p>
        </w:tc>
        <w:tc>
          <w:tcPr>
            <w:tcW w:w="2091" w:type="dxa"/>
            <w:tcBorders>
              <w:top w:val="single" w:sz="4" w:space="0" w:color="auto"/>
              <w:left w:val="nil"/>
              <w:bottom w:val="single" w:sz="4" w:space="0" w:color="auto"/>
              <w:right w:val="single" w:sz="4" w:space="0" w:color="auto"/>
            </w:tcBorders>
            <w:shd w:val="clear" w:color="auto" w:fill="auto"/>
          </w:tcPr>
          <w:p w:rsidR="00746640" w:rsidRPr="00746640" w:rsidRDefault="00746640" w:rsidP="00746640">
            <w:pPr>
              <w:jc w:val="right"/>
              <w:rPr>
                <w:rFonts w:ascii="Arial" w:hAnsi="Arial" w:cs="Arial"/>
                <w:sz w:val="17"/>
                <w:szCs w:val="17"/>
              </w:rPr>
            </w:pPr>
            <w:r w:rsidRPr="00746640">
              <w:rPr>
                <w:rFonts w:ascii="Arial" w:hAnsi="Arial" w:cs="Arial"/>
                <w:sz w:val="17"/>
                <w:szCs w:val="17"/>
              </w:rPr>
              <w:t xml:space="preserve">26,521,765 </w:t>
            </w:r>
          </w:p>
        </w:tc>
        <w:tc>
          <w:tcPr>
            <w:tcW w:w="2148" w:type="dxa"/>
            <w:tcBorders>
              <w:top w:val="nil"/>
              <w:left w:val="single" w:sz="4" w:space="0" w:color="auto"/>
              <w:bottom w:val="single" w:sz="4" w:space="0" w:color="auto"/>
              <w:right w:val="single" w:sz="4" w:space="0" w:color="auto"/>
            </w:tcBorders>
            <w:shd w:val="clear" w:color="auto" w:fill="auto"/>
          </w:tcPr>
          <w:p w:rsidR="00746640" w:rsidRPr="00746640" w:rsidRDefault="00746640" w:rsidP="00746640">
            <w:pPr>
              <w:jc w:val="right"/>
              <w:rPr>
                <w:rFonts w:ascii="Arial" w:hAnsi="Arial" w:cs="Arial"/>
                <w:sz w:val="17"/>
                <w:szCs w:val="17"/>
              </w:rPr>
            </w:pPr>
            <w:r w:rsidRPr="00746640">
              <w:rPr>
                <w:rFonts w:ascii="Arial" w:hAnsi="Arial" w:cs="Arial"/>
                <w:sz w:val="17"/>
                <w:szCs w:val="17"/>
              </w:rPr>
              <w:t xml:space="preserve"> 26,609,313 </w:t>
            </w:r>
          </w:p>
        </w:tc>
      </w:tr>
      <w:tr w:rsidR="00746640" w:rsidRPr="002D70DA" w:rsidTr="00746640">
        <w:trPr>
          <w:trHeight w:val="240"/>
          <w:jc w:val="center"/>
        </w:trPr>
        <w:tc>
          <w:tcPr>
            <w:tcW w:w="4743" w:type="dxa"/>
            <w:tcBorders>
              <w:top w:val="single" w:sz="4" w:space="0" w:color="auto"/>
              <w:left w:val="single" w:sz="4" w:space="0" w:color="auto"/>
              <w:bottom w:val="single" w:sz="4" w:space="0" w:color="auto"/>
              <w:right w:val="single" w:sz="4" w:space="0" w:color="auto"/>
            </w:tcBorders>
            <w:shd w:val="clear" w:color="auto" w:fill="auto"/>
          </w:tcPr>
          <w:p w:rsidR="00746640" w:rsidRPr="00C931EE" w:rsidRDefault="00746640" w:rsidP="00746640">
            <w:pPr>
              <w:rPr>
                <w:rFonts w:ascii="Arial" w:hAnsi="Arial" w:cs="Arial"/>
                <w:sz w:val="17"/>
                <w:szCs w:val="17"/>
              </w:rPr>
            </w:pPr>
            <w:r w:rsidRPr="00C931EE">
              <w:rPr>
                <w:rFonts w:ascii="Arial" w:hAnsi="Arial" w:cs="Arial"/>
                <w:sz w:val="17"/>
                <w:szCs w:val="17"/>
              </w:rPr>
              <w:t>Fondos en Administración a Largo Plazo</w:t>
            </w:r>
          </w:p>
        </w:tc>
        <w:tc>
          <w:tcPr>
            <w:tcW w:w="2091" w:type="dxa"/>
            <w:tcBorders>
              <w:top w:val="single" w:sz="4" w:space="0" w:color="auto"/>
              <w:left w:val="nil"/>
              <w:bottom w:val="single" w:sz="4" w:space="0" w:color="auto"/>
              <w:right w:val="single" w:sz="4" w:space="0" w:color="auto"/>
            </w:tcBorders>
            <w:shd w:val="clear" w:color="auto" w:fill="auto"/>
          </w:tcPr>
          <w:p w:rsidR="00746640" w:rsidRPr="00746640" w:rsidRDefault="00746640" w:rsidP="00746640">
            <w:pPr>
              <w:jc w:val="right"/>
              <w:rPr>
                <w:rFonts w:ascii="Arial" w:hAnsi="Arial" w:cs="Arial"/>
                <w:sz w:val="17"/>
                <w:szCs w:val="17"/>
              </w:rPr>
            </w:pPr>
            <w:r w:rsidRPr="00746640">
              <w:rPr>
                <w:rFonts w:ascii="Arial" w:hAnsi="Arial" w:cs="Arial"/>
                <w:sz w:val="17"/>
                <w:szCs w:val="17"/>
              </w:rPr>
              <w:t xml:space="preserve">1,919,464 </w:t>
            </w:r>
          </w:p>
        </w:tc>
        <w:tc>
          <w:tcPr>
            <w:tcW w:w="2148" w:type="dxa"/>
            <w:tcBorders>
              <w:top w:val="nil"/>
              <w:left w:val="single" w:sz="4" w:space="0" w:color="auto"/>
              <w:bottom w:val="single" w:sz="4" w:space="0" w:color="auto"/>
              <w:right w:val="single" w:sz="4" w:space="0" w:color="auto"/>
            </w:tcBorders>
            <w:shd w:val="clear" w:color="auto" w:fill="auto"/>
          </w:tcPr>
          <w:p w:rsidR="00746640" w:rsidRPr="00746640" w:rsidRDefault="00746640" w:rsidP="00746640">
            <w:pPr>
              <w:jc w:val="right"/>
              <w:rPr>
                <w:rFonts w:ascii="Arial" w:hAnsi="Arial" w:cs="Arial"/>
                <w:sz w:val="17"/>
                <w:szCs w:val="17"/>
              </w:rPr>
            </w:pPr>
            <w:r w:rsidRPr="00746640">
              <w:rPr>
                <w:rFonts w:ascii="Arial" w:hAnsi="Arial" w:cs="Arial"/>
                <w:sz w:val="17"/>
                <w:szCs w:val="17"/>
              </w:rPr>
              <w:t xml:space="preserve"> 1,887,374 </w:t>
            </w:r>
          </w:p>
        </w:tc>
      </w:tr>
      <w:tr w:rsidR="00746640" w:rsidRPr="002D70DA" w:rsidTr="00746640">
        <w:trPr>
          <w:trHeight w:val="240"/>
          <w:jc w:val="center"/>
        </w:trPr>
        <w:tc>
          <w:tcPr>
            <w:tcW w:w="4743" w:type="dxa"/>
            <w:tcBorders>
              <w:top w:val="single" w:sz="4" w:space="0" w:color="auto"/>
              <w:right w:val="single" w:sz="4" w:space="0" w:color="auto"/>
            </w:tcBorders>
            <w:shd w:val="clear" w:color="auto" w:fill="auto"/>
            <w:vAlign w:val="center"/>
          </w:tcPr>
          <w:p w:rsidR="00746640" w:rsidRPr="00F93CE5" w:rsidRDefault="00746640" w:rsidP="00746640">
            <w:pPr>
              <w:jc w:val="center"/>
              <w:rPr>
                <w:rFonts w:ascii="Arial" w:hAnsi="Arial" w:cs="Arial"/>
                <w:b/>
                <w:bCs/>
                <w:color w:val="000000"/>
                <w:sz w:val="17"/>
                <w:szCs w:val="17"/>
              </w:rPr>
            </w:pPr>
            <w:r w:rsidRPr="00F93CE5">
              <w:rPr>
                <w:rFonts w:ascii="Arial" w:hAnsi="Arial" w:cs="Arial"/>
                <w:b/>
                <w:bCs/>
                <w:color w:val="000000"/>
                <w:sz w:val="17"/>
                <w:szCs w:val="17"/>
              </w:rPr>
              <w:t>Total</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746640" w:rsidRPr="00C931EE" w:rsidRDefault="00746640" w:rsidP="00746640">
            <w:pPr>
              <w:jc w:val="right"/>
              <w:rPr>
                <w:rFonts w:ascii="Arial" w:hAnsi="Arial" w:cs="Arial"/>
                <w:b/>
                <w:sz w:val="17"/>
                <w:szCs w:val="17"/>
              </w:rPr>
            </w:pPr>
            <w:r w:rsidRPr="00746640">
              <w:rPr>
                <w:rFonts w:ascii="Arial" w:hAnsi="Arial" w:cs="Arial"/>
                <w:b/>
                <w:sz w:val="17"/>
                <w:szCs w:val="17"/>
              </w:rPr>
              <w:t>28,441,229</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746640" w:rsidRPr="00746640" w:rsidRDefault="00746640" w:rsidP="00746640">
            <w:pPr>
              <w:jc w:val="right"/>
              <w:rPr>
                <w:rFonts w:ascii="Arial" w:hAnsi="Arial" w:cs="Arial"/>
                <w:b/>
                <w:sz w:val="17"/>
                <w:szCs w:val="17"/>
              </w:rPr>
            </w:pPr>
            <w:r w:rsidRPr="00746640">
              <w:rPr>
                <w:rFonts w:ascii="Arial" w:hAnsi="Arial" w:cs="Arial"/>
                <w:b/>
                <w:sz w:val="17"/>
                <w:szCs w:val="17"/>
              </w:rPr>
              <w:t xml:space="preserve"> 28,496,687 </w:t>
            </w:r>
          </w:p>
        </w:tc>
      </w:tr>
    </w:tbl>
    <w:p w:rsidR="009010CC" w:rsidRDefault="009010CC" w:rsidP="009010CC">
      <w:pPr>
        <w:rPr>
          <w:rFonts w:ascii="Arial" w:eastAsia="Calibri" w:hAnsi="Arial" w:cs="Arial"/>
          <w:spacing w:val="-1"/>
          <w:sz w:val="17"/>
          <w:szCs w:val="17"/>
        </w:rPr>
      </w:pPr>
    </w:p>
    <w:p w:rsidR="00EA7BDD" w:rsidRDefault="00EA7BDD">
      <w:pPr>
        <w:rPr>
          <w:rFonts w:ascii="Arial" w:eastAsia="Calibri" w:hAnsi="Arial" w:cs="Arial"/>
          <w:spacing w:val="-1"/>
          <w:sz w:val="17"/>
          <w:szCs w:val="17"/>
        </w:rPr>
      </w:pPr>
      <w:r>
        <w:rPr>
          <w:rFonts w:ascii="Arial" w:eastAsia="Calibri" w:hAnsi="Arial" w:cs="Arial"/>
          <w:spacing w:val="-1"/>
          <w:sz w:val="17"/>
          <w:szCs w:val="17"/>
        </w:rPr>
        <w:br w:type="page"/>
      </w:r>
    </w:p>
    <w:p w:rsidR="009010CC" w:rsidRDefault="009010CC" w:rsidP="009010CC">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lastRenderedPageBreak/>
        <w:t>La cual está distribuido de la siguiente manera:</w:t>
      </w:r>
    </w:p>
    <w:p w:rsidR="009010CC" w:rsidRPr="002D70DA" w:rsidRDefault="009010CC" w:rsidP="009010CC">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75734E" w:rsidRPr="002D70DA" w:rsidTr="007466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5734E" w:rsidRPr="002D70DA" w:rsidRDefault="0075734E" w:rsidP="00F338A3">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75734E"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75734E"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2019</w:t>
            </w:r>
          </w:p>
        </w:tc>
      </w:tr>
      <w:tr w:rsidR="00746640" w:rsidRPr="002D70DA" w:rsidTr="007466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46640" w:rsidRPr="00C34218" w:rsidRDefault="00746640" w:rsidP="00746640">
            <w:pPr>
              <w:rPr>
                <w:rFonts w:ascii="Arial" w:hAnsi="Arial" w:cs="Arial"/>
                <w:b/>
                <w:sz w:val="17"/>
                <w:szCs w:val="17"/>
              </w:rPr>
            </w:pPr>
            <w:r w:rsidRPr="00C34218">
              <w:rPr>
                <w:rFonts w:ascii="Arial" w:hAnsi="Arial" w:cs="Arial"/>
                <w:b/>
                <w:sz w:val="17"/>
                <w:szCs w:val="17"/>
              </w:rPr>
              <w:t>Poder Ejecutivo</w:t>
            </w:r>
          </w:p>
        </w:tc>
        <w:tc>
          <w:tcPr>
            <w:tcW w:w="2180" w:type="dxa"/>
            <w:tcBorders>
              <w:top w:val="single" w:sz="4" w:space="0" w:color="auto"/>
              <w:left w:val="nil"/>
              <w:bottom w:val="single" w:sz="4" w:space="0" w:color="auto"/>
              <w:right w:val="single" w:sz="4" w:space="0" w:color="auto"/>
            </w:tcBorders>
            <w:shd w:val="clear" w:color="auto" w:fill="auto"/>
          </w:tcPr>
          <w:p w:rsidR="00746640" w:rsidRPr="0085799D" w:rsidRDefault="00746640" w:rsidP="00746640">
            <w:pPr>
              <w:jc w:val="right"/>
              <w:rPr>
                <w:rFonts w:ascii="Arial" w:hAnsi="Arial" w:cs="Arial"/>
                <w:b/>
                <w:sz w:val="17"/>
                <w:szCs w:val="17"/>
              </w:rPr>
            </w:pPr>
            <w:r w:rsidRPr="00746640">
              <w:rPr>
                <w:rFonts w:ascii="Arial" w:hAnsi="Arial" w:cs="Arial"/>
                <w:b/>
                <w:sz w:val="17"/>
                <w:szCs w:val="17"/>
              </w:rPr>
              <w:t>1,919,464</w:t>
            </w:r>
          </w:p>
        </w:tc>
        <w:tc>
          <w:tcPr>
            <w:tcW w:w="2180" w:type="dxa"/>
            <w:tcBorders>
              <w:top w:val="single" w:sz="4" w:space="0" w:color="auto"/>
              <w:left w:val="nil"/>
              <w:bottom w:val="single" w:sz="4" w:space="0" w:color="auto"/>
              <w:right w:val="single" w:sz="4" w:space="0" w:color="auto"/>
            </w:tcBorders>
            <w:shd w:val="clear" w:color="auto" w:fill="auto"/>
          </w:tcPr>
          <w:p w:rsidR="00746640" w:rsidRPr="00746640" w:rsidRDefault="00746640" w:rsidP="00746640">
            <w:pPr>
              <w:jc w:val="right"/>
              <w:rPr>
                <w:rFonts w:ascii="Arial" w:hAnsi="Arial" w:cs="Arial"/>
                <w:b/>
                <w:sz w:val="17"/>
                <w:szCs w:val="17"/>
              </w:rPr>
            </w:pPr>
            <w:r w:rsidRPr="00746640">
              <w:rPr>
                <w:rFonts w:ascii="Arial" w:hAnsi="Arial" w:cs="Arial"/>
                <w:b/>
                <w:sz w:val="17"/>
                <w:szCs w:val="17"/>
              </w:rPr>
              <w:t xml:space="preserve">1,887,374 </w:t>
            </w:r>
          </w:p>
        </w:tc>
      </w:tr>
      <w:tr w:rsidR="00746640" w:rsidRPr="002D70DA" w:rsidTr="007466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46640" w:rsidRPr="00C34218" w:rsidRDefault="00746640" w:rsidP="00746640">
            <w:pPr>
              <w:rPr>
                <w:rFonts w:ascii="Arial" w:hAnsi="Arial" w:cs="Arial"/>
                <w:b/>
                <w:sz w:val="17"/>
                <w:szCs w:val="17"/>
              </w:rPr>
            </w:pPr>
            <w:r w:rsidRPr="00C34218">
              <w:rPr>
                <w:rFonts w:ascii="Arial" w:hAnsi="Arial" w:cs="Arial"/>
                <w:b/>
                <w:sz w:val="17"/>
                <w:szCs w:val="17"/>
              </w:rPr>
              <w:t>Órganos Autónomos</w:t>
            </w:r>
          </w:p>
        </w:tc>
        <w:tc>
          <w:tcPr>
            <w:tcW w:w="2180" w:type="dxa"/>
            <w:tcBorders>
              <w:top w:val="single" w:sz="4" w:space="0" w:color="auto"/>
              <w:left w:val="nil"/>
              <w:bottom w:val="single" w:sz="4" w:space="0" w:color="auto"/>
              <w:right w:val="single" w:sz="4" w:space="0" w:color="auto"/>
            </w:tcBorders>
            <w:shd w:val="clear" w:color="auto" w:fill="auto"/>
          </w:tcPr>
          <w:p w:rsidR="00746640" w:rsidRPr="0085799D" w:rsidRDefault="00746640" w:rsidP="00746640">
            <w:pPr>
              <w:jc w:val="right"/>
              <w:rPr>
                <w:rFonts w:ascii="Arial" w:hAnsi="Arial" w:cs="Arial"/>
                <w:b/>
                <w:sz w:val="17"/>
                <w:szCs w:val="17"/>
              </w:rPr>
            </w:pPr>
            <w:r w:rsidRPr="00746640">
              <w:rPr>
                <w:rFonts w:ascii="Arial" w:hAnsi="Arial" w:cs="Arial"/>
                <w:b/>
                <w:sz w:val="17"/>
                <w:szCs w:val="17"/>
              </w:rPr>
              <w:t>26,521,765</w:t>
            </w:r>
          </w:p>
        </w:tc>
        <w:tc>
          <w:tcPr>
            <w:tcW w:w="2180" w:type="dxa"/>
            <w:tcBorders>
              <w:top w:val="single" w:sz="4" w:space="0" w:color="auto"/>
              <w:left w:val="nil"/>
              <w:bottom w:val="single" w:sz="4" w:space="0" w:color="auto"/>
              <w:right w:val="single" w:sz="4" w:space="0" w:color="auto"/>
            </w:tcBorders>
            <w:shd w:val="clear" w:color="auto" w:fill="auto"/>
          </w:tcPr>
          <w:p w:rsidR="00746640" w:rsidRPr="00746640" w:rsidRDefault="00746640" w:rsidP="00746640">
            <w:pPr>
              <w:jc w:val="right"/>
              <w:rPr>
                <w:rFonts w:ascii="Arial" w:hAnsi="Arial" w:cs="Arial"/>
                <w:b/>
                <w:sz w:val="17"/>
                <w:szCs w:val="17"/>
              </w:rPr>
            </w:pPr>
            <w:r w:rsidRPr="00746640">
              <w:rPr>
                <w:rFonts w:ascii="Arial" w:hAnsi="Arial" w:cs="Arial"/>
                <w:b/>
                <w:sz w:val="17"/>
                <w:szCs w:val="17"/>
              </w:rPr>
              <w:t xml:space="preserve">26,609,313 </w:t>
            </w:r>
          </w:p>
        </w:tc>
      </w:tr>
      <w:tr w:rsidR="00746640" w:rsidRPr="002D70DA" w:rsidTr="007466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46640" w:rsidRPr="00C34218" w:rsidRDefault="00746640" w:rsidP="00746640">
            <w:pPr>
              <w:ind w:left="497"/>
              <w:rPr>
                <w:rFonts w:ascii="Arial" w:hAnsi="Arial" w:cs="Arial"/>
                <w:sz w:val="17"/>
                <w:szCs w:val="17"/>
              </w:rPr>
            </w:pPr>
            <w:r w:rsidRPr="00C34218">
              <w:rPr>
                <w:rFonts w:ascii="Arial" w:hAnsi="Arial" w:cs="Arial"/>
                <w:sz w:val="17"/>
                <w:szCs w:val="17"/>
              </w:rPr>
              <w:t>Fiscalía General del Estado</w:t>
            </w:r>
          </w:p>
        </w:tc>
        <w:tc>
          <w:tcPr>
            <w:tcW w:w="2180" w:type="dxa"/>
            <w:tcBorders>
              <w:top w:val="single" w:sz="4" w:space="0" w:color="auto"/>
              <w:left w:val="nil"/>
              <w:bottom w:val="single" w:sz="4" w:space="0" w:color="auto"/>
              <w:right w:val="single" w:sz="4" w:space="0" w:color="auto"/>
            </w:tcBorders>
            <w:shd w:val="clear" w:color="auto" w:fill="auto"/>
          </w:tcPr>
          <w:p w:rsidR="00746640" w:rsidRPr="00EA7BDD" w:rsidRDefault="00746640" w:rsidP="00746640">
            <w:pPr>
              <w:jc w:val="right"/>
              <w:rPr>
                <w:rFonts w:ascii="Arial" w:hAnsi="Arial" w:cs="Arial"/>
                <w:sz w:val="17"/>
                <w:szCs w:val="17"/>
              </w:rPr>
            </w:pPr>
            <w:r w:rsidRPr="00746640">
              <w:rPr>
                <w:rFonts w:ascii="Arial" w:hAnsi="Arial" w:cs="Arial"/>
                <w:sz w:val="17"/>
                <w:szCs w:val="17"/>
              </w:rPr>
              <w:t>26,521,765</w:t>
            </w:r>
          </w:p>
        </w:tc>
        <w:tc>
          <w:tcPr>
            <w:tcW w:w="2180" w:type="dxa"/>
            <w:tcBorders>
              <w:top w:val="single" w:sz="4" w:space="0" w:color="auto"/>
              <w:left w:val="nil"/>
              <w:bottom w:val="single" w:sz="4" w:space="0" w:color="auto"/>
              <w:right w:val="single" w:sz="4" w:space="0" w:color="auto"/>
            </w:tcBorders>
            <w:shd w:val="clear" w:color="auto" w:fill="auto"/>
          </w:tcPr>
          <w:p w:rsidR="00746640" w:rsidRPr="00746640" w:rsidRDefault="00746640" w:rsidP="00746640">
            <w:pPr>
              <w:jc w:val="right"/>
              <w:rPr>
                <w:rFonts w:ascii="Arial" w:hAnsi="Arial" w:cs="Arial"/>
                <w:sz w:val="17"/>
                <w:szCs w:val="17"/>
              </w:rPr>
            </w:pPr>
            <w:r w:rsidRPr="00746640">
              <w:rPr>
                <w:rFonts w:ascii="Arial" w:hAnsi="Arial" w:cs="Arial"/>
                <w:sz w:val="17"/>
                <w:szCs w:val="17"/>
              </w:rPr>
              <w:t xml:space="preserve">26,609,313 </w:t>
            </w:r>
          </w:p>
        </w:tc>
      </w:tr>
      <w:tr w:rsidR="00746640" w:rsidRPr="002D70DA" w:rsidTr="00746640">
        <w:trPr>
          <w:trHeight w:val="240"/>
          <w:jc w:val="center"/>
        </w:trPr>
        <w:tc>
          <w:tcPr>
            <w:tcW w:w="4900" w:type="dxa"/>
            <w:tcBorders>
              <w:top w:val="nil"/>
              <w:left w:val="nil"/>
              <w:bottom w:val="nil"/>
              <w:right w:val="single" w:sz="4" w:space="0" w:color="auto"/>
            </w:tcBorders>
            <w:shd w:val="clear" w:color="000000" w:fill="FFFFFF"/>
            <w:vAlign w:val="center"/>
            <w:hideMark/>
          </w:tcPr>
          <w:p w:rsidR="00746640" w:rsidRPr="002D70DA" w:rsidRDefault="00746640" w:rsidP="00746640">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746640" w:rsidRPr="00EA7BDD" w:rsidRDefault="00746640" w:rsidP="00746640">
            <w:pPr>
              <w:jc w:val="right"/>
              <w:rPr>
                <w:rFonts w:ascii="Arial" w:hAnsi="Arial" w:cs="Arial"/>
                <w:b/>
                <w:sz w:val="17"/>
                <w:szCs w:val="17"/>
              </w:rPr>
            </w:pPr>
            <w:r w:rsidRPr="00746640">
              <w:rPr>
                <w:rFonts w:ascii="Arial" w:hAnsi="Arial" w:cs="Arial"/>
                <w:b/>
                <w:sz w:val="17"/>
                <w:szCs w:val="17"/>
              </w:rPr>
              <w:t>28,441,229</w:t>
            </w:r>
          </w:p>
        </w:tc>
        <w:tc>
          <w:tcPr>
            <w:tcW w:w="2180" w:type="dxa"/>
            <w:tcBorders>
              <w:top w:val="nil"/>
              <w:left w:val="single" w:sz="4" w:space="0" w:color="auto"/>
              <w:bottom w:val="single" w:sz="4" w:space="0" w:color="auto"/>
              <w:right w:val="single" w:sz="4" w:space="0" w:color="auto"/>
            </w:tcBorders>
            <w:shd w:val="clear" w:color="000000" w:fill="FFFFFF"/>
          </w:tcPr>
          <w:p w:rsidR="00746640" w:rsidRPr="00746640" w:rsidRDefault="00746640" w:rsidP="00746640">
            <w:pPr>
              <w:jc w:val="right"/>
              <w:rPr>
                <w:rFonts w:ascii="Arial" w:hAnsi="Arial" w:cs="Arial"/>
                <w:b/>
                <w:sz w:val="17"/>
                <w:szCs w:val="17"/>
              </w:rPr>
            </w:pPr>
            <w:r w:rsidRPr="00746640">
              <w:rPr>
                <w:rFonts w:ascii="Arial" w:hAnsi="Arial" w:cs="Arial"/>
                <w:b/>
                <w:sz w:val="17"/>
                <w:szCs w:val="17"/>
              </w:rPr>
              <w:t xml:space="preserve">28,496,687 </w:t>
            </w:r>
          </w:p>
        </w:tc>
      </w:tr>
    </w:tbl>
    <w:p w:rsidR="000767E5" w:rsidRDefault="000767E5" w:rsidP="0064298F">
      <w:pPr>
        <w:spacing w:before="80" w:line="250" w:lineRule="exact"/>
        <w:ind w:left="709"/>
        <w:jc w:val="both"/>
        <w:rPr>
          <w:rFonts w:ascii="Arial" w:eastAsia="Calibri" w:hAnsi="Arial" w:cs="Arial"/>
          <w:spacing w:val="-1"/>
          <w:sz w:val="17"/>
          <w:szCs w:val="17"/>
        </w:rPr>
      </w:pPr>
    </w:p>
    <w:p w:rsidR="000767E5" w:rsidRDefault="000767E5" w:rsidP="0064298F">
      <w:pPr>
        <w:spacing w:before="80" w:line="250" w:lineRule="exact"/>
        <w:ind w:left="709"/>
        <w:jc w:val="both"/>
        <w:rPr>
          <w:rFonts w:ascii="Arial" w:eastAsia="Calibri" w:hAnsi="Arial" w:cs="Arial"/>
          <w:spacing w:val="-1"/>
          <w:sz w:val="17"/>
          <w:szCs w:val="17"/>
        </w:rPr>
      </w:pPr>
    </w:p>
    <w:p w:rsidR="004A1BCC" w:rsidRPr="008918A4" w:rsidRDefault="004A1BCC" w:rsidP="004A1BCC">
      <w:pPr>
        <w:spacing w:before="80" w:line="250" w:lineRule="exact"/>
        <w:ind w:left="709"/>
        <w:jc w:val="both"/>
        <w:rPr>
          <w:rFonts w:ascii="Arial" w:eastAsia="Calibri" w:hAnsi="Arial" w:cs="Arial"/>
          <w:spacing w:val="-1"/>
          <w:sz w:val="17"/>
          <w:szCs w:val="17"/>
        </w:rPr>
      </w:pPr>
      <w:r w:rsidRPr="008918A4">
        <w:rPr>
          <w:rFonts w:ascii="Arial" w:eastAsia="Calibri" w:hAnsi="Arial" w:cs="Arial"/>
          <w:spacing w:val="-1"/>
          <w:sz w:val="17"/>
          <w:szCs w:val="17"/>
        </w:rPr>
        <w:t>Se informa de manera agrupada por cuenta</w:t>
      </w:r>
      <w:r>
        <w:rPr>
          <w:rFonts w:ascii="Arial" w:eastAsia="Calibri" w:hAnsi="Arial" w:cs="Arial"/>
          <w:spacing w:val="-1"/>
          <w:sz w:val="17"/>
          <w:szCs w:val="17"/>
        </w:rPr>
        <w:t xml:space="preserve"> </w:t>
      </w:r>
      <w:r w:rsidRPr="008918A4">
        <w:rPr>
          <w:rFonts w:ascii="Arial" w:eastAsia="Calibri" w:hAnsi="Arial" w:cs="Arial"/>
          <w:spacing w:val="-1"/>
          <w:sz w:val="17"/>
          <w:szCs w:val="17"/>
        </w:rPr>
        <w:t xml:space="preserve">el monto al 31 de diciembre del </w:t>
      </w:r>
      <w:r w:rsidR="00FD7D84">
        <w:rPr>
          <w:rFonts w:ascii="Arial" w:eastAsia="Calibri" w:hAnsi="Arial" w:cs="Arial"/>
          <w:spacing w:val="-1"/>
          <w:sz w:val="17"/>
          <w:szCs w:val="17"/>
        </w:rPr>
        <w:t>2020</w:t>
      </w:r>
      <w:r>
        <w:rPr>
          <w:rFonts w:ascii="Arial" w:eastAsia="Calibri" w:hAnsi="Arial" w:cs="Arial"/>
          <w:spacing w:val="-1"/>
          <w:sz w:val="17"/>
          <w:szCs w:val="17"/>
        </w:rPr>
        <w:t xml:space="preserve"> d</w:t>
      </w:r>
      <w:r w:rsidRPr="008918A4">
        <w:rPr>
          <w:rFonts w:ascii="Arial" w:eastAsia="Calibri" w:hAnsi="Arial" w:cs="Arial"/>
          <w:spacing w:val="-1"/>
          <w:sz w:val="17"/>
          <w:szCs w:val="17"/>
        </w:rPr>
        <w:t xml:space="preserve">el rubro de </w:t>
      </w:r>
      <w:r w:rsidRPr="004A1BCC">
        <w:rPr>
          <w:rFonts w:ascii="Arial" w:eastAsia="Calibri" w:hAnsi="Arial" w:cs="Arial"/>
          <w:spacing w:val="-1"/>
          <w:sz w:val="17"/>
          <w:szCs w:val="17"/>
        </w:rPr>
        <w:t>Provisiones a Largo Plazo</w:t>
      </w:r>
      <w:r>
        <w:rPr>
          <w:rFonts w:ascii="Arial" w:eastAsia="Calibri" w:hAnsi="Arial" w:cs="Arial"/>
          <w:spacing w:val="-1"/>
          <w:sz w:val="17"/>
          <w:szCs w:val="17"/>
        </w:rPr>
        <w:t>:</w:t>
      </w:r>
    </w:p>
    <w:p w:rsidR="004A1BCC" w:rsidRPr="005540CE" w:rsidRDefault="004A1BCC" w:rsidP="004A1BCC">
      <w:pPr>
        <w:autoSpaceDE w:val="0"/>
        <w:autoSpaceDN w:val="0"/>
        <w:adjustRightInd w:val="0"/>
        <w:spacing w:before="240" w:after="120"/>
        <w:ind w:left="360"/>
        <w:jc w:val="center"/>
        <w:rPr>
          <w:rFonts w:ascii="Arial" w:eastAsia="Calibri" w:hAnsi="Arial" w:cs="Arial"/>
          <w:b/>
          <w:spacing w:val="-1"/>
          <w:sz w:val="17"/>
          <w:szCs w:val="17"/>
        </w:rPr>
      </w:pPr>
      <w:r w:rsidRPr="005540CE">
        <w:rPr>
          <w:rFonts w:ascii="Arial" w:eastAsia="Calibri" w:hAnsi="Arial" w:cs="Arial"/>
          <w:b/>
          <w:spacing w:val="-1"/>
          <w:sz w:val="17"/>
          <w:szCs w:val="17"/>
        </w:rPr>
        <w:t>(Pesos)</w:t>
      </w:r>
    </w:p>
    <w:tbl>
      <w:tblPr>
        <w:tblW w:w="8982" w:type="dxa"/>
        <w:jc w:val="center"/>
        <w:tblCellMar>
          <w:left w:w="70" w:type="dxa"/>
          <w:right w:w="70" w:type="dxa"/>
        </w:tblCellMar>
        <w:tblLook w:val="04A0" w:firstRow="1" w:lastRow="0" w:firstColumn="1" w:lastColumn="0" w:noHBand="0" w:noVBand="1"/>
      </w:tblPr>
      <w:tblGrid>
        <w:gridCol w:w="4743"/>
        <w:gridCol w:w="2091"/>
        <w:gridCol w:w="2148"/>
      </w:tblGrid>
      <w:tr w:rsidR="004A1BCC" w:rsidRPr="002D70DA" w:rsidTr="00C41BE6">
        <w:trPr>
          <w:trHeight w:val="480"/>
          <w:jc w:val="center"/>
        </w:trPr>
        <w:tc>
          <w:tcPr>
            <w:tcW w:w="47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A1BCC" w:rsidRPr="002D70DA" w:rsidRDefault="004A1BCC" w:rsidP="00C34218">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1" w:type="dxa"/>
            <w:tcBorders>
              <w:top w:val="single" w:sz="4" w:space="0" w:color="auto"/>
              <w:left w:val="nil"/>
              <w:bottom w:val="single" w:sz="4" w:space="0" w:color="auto"/>
              <w:right w:val="single" w:sz="4" w:space="0" w:color="auto"/>
            </w:tcBorders>
            <w:shd w:val="clear" w:color="auto" w:fill="D5DCE4" w:themeFill="text2" w:themeFillTint="33"/>
            <w:vAlign w:val="center"/>
          </w:tcPr>
          <w:p w:rsidR="004A1BCC" w:rsidRPr="002D70DA" w:rsidRDefault="00FD7D84" w:rsidP="00C34218">
            <w:pPr>
              <w:jc w:val="center"/>
              <w:rPr>
                <w:rFonts w:ascii="Arial" w:hAnsi="Arial" w:cs="Arial"/>
                <w:b/>
                <w:bCs/>
                <w:color w:val="000000"/>
                <w:sz w:val="17"/>
                <w:szCs w:val="17"/>
              </w:rPr>
            </w:pPr>
            <w:r>
              <w:rPr>
                <w:rFonts w:ascii="Arial" w:hAnsi="Arial" w:cs="Arial"/>
                <w:b/>
                <w:bCs/>
                <w:color w:val="000000"/>
                <w:sz w:val="17"/>
                <w:szCs w:val="17"/>
              </w:rPr>
              <w:t>2020</w:t>
            </w:r>
          </w:p>
        </w:tc>
        <w:tc>
          <w:tcPr>
            <w:tcW w:w="214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A1BCC" w:rsidRPr="002D70DA" w:rsidRDefault="00FD7D84" w:rsidP="00C34218">
            <w:pPr>
              <w:jc w:val="center"/>
              <w:rPr>
                <w:rFonts w:ascii="Arial" w:hAnsi="Arial" w:cs="Arial"/>
                <w:b/>
                <w:bCs/>
                <w:color w:val="000000"/>
                <w:sz w:val="17"/>
                <w:szCs w:val="17"/>
              </w:rPr>
            </w:pPr>
            <w:r>
              <w:rPr>
                <w:rFonts w:ascii="Arial" w:hAnsi="Arial" w:cs="Arial"/>
                <w:b/>
                <w:bCs/>
                <w:color w:val="000000"/>
                <w:sz w:val="17"/>
                <w:szCs w:val="17"/>
              </w:rPr>
              <w:t>2019</w:t>
            </w:r>
          </w:p>
        </w:tc>
      </w:tr>
      <w:tr w:rsidR="00506288" w:rsidRPr="002D70DA" w:rsidTr="00C41BE6">
        <w:trPr>
          <w:trHeight w:val="240"/>
          <w:jc w:val="center"/>
        </w:trPr>
        <w:tc>
          <w:tcPr>
            <w:tcW w:w="4743" w:type="dxa"/>
            <w:tcBorders>
              <w:top w:val="single" w:sz="4" w:space="0" w:color="auto"/>
              <w:left w:val="single" w:sz="4" w:space="0" w:color="auto"/>
              <w:bottom w:val="single" w:sz="4" w:space="0" w:color="auto"/>
              <w:right w:val="single" w:sz="4" w:space="0" w:color="auto"/>
            </w:tcBorders>
            <w:shd w:val="clear" w:color="auto" w:fill="auto"/>
          </w:tcPr>
          <w:p w:rsidR="00506288" w:rsidRPr="00D0107E" w:rsidRDefault="00506288" w:rsidP="00506288">
            <w:pPr>
              <w:rPr>
                <w:rFonts w:ascii="Arial" w:hAnsi="Arial" w:cs="Arial"/>
                <w:sz w:val="17"/>
                <w:szCs w:val="17"/>
              </w:rPr>
            </w:pPr>
            <w:r w:rsidRPr="004A1BCC">
              <w:rPr>
                <w:rFonts w:ascii="Arial" w:hAnsi="Arial" w:cs="Arial"/>
                <w:sz w:val="17"/>
                <w:szCs w:val="17"/>
              </w:rPr>
              <w:t>Provisión para Pensiones a Largo Plazo</w:t>
            </w:r>
          </w:p>
        </w:tc>
        <w:tc>
          <w:tcPr>
            <w:tcW w:w="2091" w:type="dxa"/>
            <w:tcBorders>
              <w:top w:val="single" w:sz="4" w:space="0" w:color="auto"/>
              <w:left w:val="nil"/>
              <w:bottom w:val="single" w:sz="4" w:space="0" w:color="auto"/>
              <w:right w:val="single" w:sz="4" w:space="0" w:color="auto"/>
            </w:tcBorders>
            <w:shd w:val="clear" w:color="auto" w:fill="auto"/>
          </w:tcPr>
          <w:p w:rsidR="00506288" w:rsidRPr="00506288" w:rsidRDefault="00506288" w:rsidP="00506288">
            <w:pPr>
              <w:jc w:val="right"/>
              <w:rPr>
                <w:rFonts w:ascii="Arial" w:hAnsi="Arial" w:cs="Arial"/>
                <w:b/>
                <w:sz w:val="17"/>
                <w:szCs w:val="17"/>
              </w:rPr>
            </w:pPr>
            <w:r w:rsidRPr="00506288">
              <w:rPr>
                <w:rFonts w:ascii="Arial" w:hAnsi="Arial" w:cs="Arial"/>
                <w:b/>
                <w:sz w:val="17"/>
                <w:szCs w:val="17"/>
              </w:rPr>
              <w:t xml:space="preserve">158,189,478 </w:t>
            </w:r>
          </w:p>
        </w:tc>
        <w:tc>
          <w:tcPr>
            <w:tcW w:w="2148" w:type="dxa"/>
            <w:tcBorders>
              <w:top w:val="nil"/>
              <w:left w:val="single" w:sz="4" w:space="0" w:color="auto"/>
              <w:bottom w:val="single" w:sz="4" w:space="0" w:color="auto"/>
              <w:right w:val="single" w:sz="4" w:space="0" w:color="auto"/>
            </w:tcBorders>
            <w:shd w:val="clear" w:color="auto" w:fill="auto"/>
          </w:tcPr>
          <w:p w:rsidR="00506288" w:rsidRPr="00506288" w:rsidRDefault="003A66B9" w:rsidP="00506288">
            <w:pPr>
              <w:jc w:val="right"/>
              <w:rPr>
                <w:rFonts w:ascii="Arial" w:hAnsi="Arial" w:cs="Arial"/>
                <w:b/>
                <w:sz w:val="17"/>
                <w:szCs w:val="17"/>
              </w:rPr>
            </w:pPr>
            <w:r w:rsidRPr="003A66B9">
              <w:rPr>
                <w:rFonts w:ascii="Arial" w:hAnsi="Arial" w:cs="Arial"/>
                <w:b/>
                <w:sz w:val="17"/>
                <w:szCs w:val="17"/>
              </w:rPr>
              <w:t>158,189,478</w:t>
            </w:r>
          </w:p>
        </w:tc>
      </w:tr>
    </w:tbl>
    <w:p w:rsidR="004A1BCC" w:rsidRDefault="004A1BCC" w:rsidP="004A1BCC">
      <w:pPr>
        <w:rPr>
          <w:rFonts w:ascii="Arial" w:eastAsia="Calibri" w:hAnsi="Arial" w:cs="Arial"/>
          <w:spacing w:val="-1"/>
          <w:sz w:val="17"/>
          <w:szCs w:val="17"/>
        </w:rPr>
      </w:pPr>
    </w:p>
    <w:p w:rsidR="00C41BE6" w:rsidRDefault="00C41BE6" w:rsidP="00C41BE6">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El cual corresponde al Poder Ejecutivo del Estado de Querétaro.</w:t>
      </w:r>
    </w:p>
    <w:p w:rsidR="00C41BE6" w:rsidRDefault="00C41BE6" w:rsidP="004A1BCC">
      <w:pPr>
        <w:rPr>
          <w:rFonts w:ascii="Arial" w:eastAsia="Calibri" w:hAnsi="Arial" w:cs="Arial"/>
          <w:spacing w:val="-1"/>
          <w:sz w:val="17"/>
          <w:szCs w:val="17"/>
        </w:rPr>
      </w:pPr>
    </w:p>
    <w:p w:rsidR="00C41BE6" w:rsidRDefault="00C41BE6">
      <w:pPr>
        <w:rPr>
          <w:rFonts w:ascii="Arial" w:eastAsia="Calibri" w:hAnsi="Arial" w:cs="Arial"/>
          <w:spacing w:val="-1"/>
          <w:sz w:val="17"/>
          <w:szCs w:val="17"/>
        </w:rPr>
      </w:pPr>
      <w:r>
        <w:rPr>
          <w:rFonts w:ascii="Arial" w:eastAsia="Calibri" w:hAnsi="Arial" w:cs="Arial"/>
          <w:spacing w:val="-1"/>
          <w:sz w:val="17"/>
          <w:szCs w:val="17"/>
        </w:rPr>
        <w:br w:type="page"/>
      </w:r>
    </w:p>
    <w:p w:rsidR="00CF338E" w:rsidRPr="00F15CC6" w:rsidRDefault="00CF338E" w:rsidP="00795E45">
      <w:pPr>
        <w:pStyle w:val="Prrafodelista"/>
        <w:numPr>
          <w:ilvl w:val="0"/>
          <w:numId w:val="10"/>
        </w:numPr>
        <w:autoSpaceDE w:val="0"/>
        <w:autoSpaceDN w:val="0"/>
        <w:adjustRightInd w:val="0"/>
        <w:spacing w:before="240" w:after="120"/>
        <w:jc w:val="both"/>
        <w:rPr>
          <w:rFonts w:ascii="Arial" w:hAnsi="Arial" w:cs="Arial"/>
          <w:b/>
          <w:sz w:val="17"/>
          <w:szCs w:val="17"/>
        </w:rPr>
      </w:pPr>
      <w:r w:rsidRPr="00F15CC6">
        <w:rPr>
          <w:rFonts w:ascii="Arial" w:hAnsi="Arial" w:cs="Arial"/>
          <w:b/>
          <w:sz w:val="17"/>
          <w:szCs w:val="17"/>
        </w:rPr>
        <w:lastRenderedPageBreak/>
        <w:t>Notas al Estado de Actividades</w:t>
      </w:r>
    </w:p>
    <w:p w:rsidR="00DD12CE" w:rsidRDefault="00DD12CE" w:rsidP="00CF338E">
      <w:pPr>
        <w:autoSpaceDE w:val="0"/>
        <w:autoSpaceDN w:val="0"/>
        <w:adjustRightInd w:val="0"/>
        <w:spacing w:before="240" w:after="120"/>
        <w:jc w:val="both"/>
        <w:rPr>
          <w:rFonts w:ascii="Arial" w:hAnsi="Arial" w:cs="Arial"/>
          <w:b/>
          <w:sz w:val="17"/>
          <w:szCs w:val="17"/>
        </w:rPr>
      </w:pPr>
    </w:p>
    <w:p w:rsidR="00CF338E" w:rsidRPr="00DD12CE" w:rsidRDefault="000008C2" w:rsidP="00795E45">
      <w:pPr>
        <w:pStyle w:val="Prrafodelista"/>
        <w:numPr>
          <w:ilvl w:val="0"/>
          <w:numId w:val="11"/>
        </w:numPr>
        <w:autoSpaceDE w:val="0"/>
        <w:autoSpaceDN w:val="0"/>
        <w:adjustRightInd w:val="0"/>
        <w:spacing w:before="240" w:after="120"/>
        <w:jc w:val="both"/>
        <w:rPr>
          <w:rFonts w:ascii="Arial" w:hAnsi="Arial" w:cs="Arial"/>
          <w:b/>
          <w:sz w:val="17"/>
          <w:szCs w:val="17"/>
        </w:rPr>
      </w:pPr>
      <w:r w:rsidRPr="00DD12CE">
        <w:rPr>
          <w:rFonts w:ascii="Arial" w:hAnsi="Arial" w:cs="Arial"/>
          <w:b/>
          <w:sz w:val="17"/>
          <w:szCs w:val="17"/>
        </w:rPr>
        <w:t>Ingresos de gestión</w:t>
      </w:r>
    </w:p>
    <w:p w:rsidR="000008C2" w:rsidRPr="002D70DA" w:rsidRDefault="000008C2" w:rsidP="00DD12CE">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De los rubros de impuestos, contribuciones de mejoras, derechos, productos, aprovechamientos, </w:t>
      </w:r>
      <w:r w:rsidR="007C302E">
        <w:rPr>
          <w:rFonts w:ascii="Arial" w:eastAsia="Calibri" w:hAnsi="Arial" w:cs="Arial"/>
          <w:spacing w:val="-1"/>
          <w:sz w:val="17"/>
          <w:szCs w:val="17"/>
        </w:rPr>
        <w:t>e ingresos por venta de bienes de servicios</w:t>
      </w:r>
      <w:r w:rsidRPr="002D70DA">
        <w:rPr>
          <w:rFonts w:ascii="Arial" w:eastAsia="Calibri" w:hAnsi="Arial" w:cs="Arial"/>
          <w:spacing w:val="-1"/>
          <w:sz w:val="17"/>
          <w:szCs w:val="17"/>
        </w:rPr>
        <w:t xml:space="preserve">, se informa los montos totales </w:t>
      </w:r>
      <w:r w:rsidR="005D109B">
        <w:rPr>
          <w:rFonts w:ascii="Arial" w:eastAsia="Calibri" w:hAnsi="Arial" w:cs="Arial"/>
          <w:spacing w:val="-1"/>
          <w:sz w:val="17"/>
          <w:szCs w:val="17"/>
        </w:rPr>
        <w:t xml:space="preserve">al </w:t>
      </w:r>
      <w:r w:rsidR="001E5A70">
        <w:rPr>
          <w:rFonts w:ascii="Arial" w:eastAsia="Calibri" w:hAnsi="Arial" w:cs="Arial"/>
          <w:spacing w:val="-1"/>
          <w:sz w:val="17"/>
          <w:szCs w:val="17"/>
        </w:rPr>
        <w:t xml:space="preserve">31 de diciembre del </w:t>
      </w:r>
      <w:r w:rsidR="00FD7D84">
        <w:rPr>
          <w:rFonts w:ascii="Arial" w:eastAsia="Calibri" w:hAnsi="Arial" w:cs="Arial"/>
          <w:spacing w:val="-1"/>
          <w:sz w:val="17"/>
          <w:szCs w:val="17"/>
        </w:rPr>
        <w:t>2020</w:t>
      </w:r>
      <w:r w:rsidRPr="002D70DA">
        <w:rPr>
          <w:rFonts w:ascii="Arial" w:eastAsia="Calibri" w:hAnsi="Arial" w:cs="Arial"/>
          <w:spacing w:val="-1"/>
          <w:sz w:val="17"/>
          <w:szCs w:val="17"/>
        </w:rPr>
        <w:t>:</w:t>
      </w:r>
    </w:p>
    <w:p w:rsidR="000008C2" w:rsidRPr="002D70DA" w:rsidRDefault="000008C2" w:rsidP="000008C2">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0008C2" w:rsidRPr="002D70DA" w:rsidTr="003E0EA9">
        <w:trPr>
          <w:trHeight w:val="143"/>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008C2" w:rsidRPr="002D70DA" w:rsidRDefault="00F9045D">
            <w:pPr>
              <w:jc w:val="center"/>
              <w:rPr>
                <w:rFonts w:ascii="Arial" w:hAnsi="Arial" w:cs="Arial"/>
                <w:b/>
                <w:bCs/>
                <w:color w:val="000000"/>
                <w:sz w:val="17"/>
                <w:szCs w:val="17"/>
              </w:rPr>
            </w:pPr>
            <w:r w:rsidRPr="002D70DA">
              <w:rPr>
                <w:rFonts w:ascii="Arial" w:hAnsi="Arial" w:cs="Arial"/>
                <w:b/>
                <w:bCs/>
                <w:color w:val="000000"/>
                <w:sz w:val="17"/>
                <w:szCs w:val="17"/>
              </w:rPr>
              <w:t>C</w:t>
            </w:r>
            <w:r w:rsidR="00882163">
              <w:rPr>
                <w:rFonts w:ascii="Arial" w:hAnsi="Arial" w:cs="Arial"/>
                <w:b/>
                <w:bCs/>
                <w:color w:val="000000"/>
                <w:sz w:val="17"/>
                <w:szCs w:val="17"/>
              </w:rPr>
              <w:t>uenta</w:t>
            </w:r>
            <w:r w:rsidRPr="002D70DA">
              <w:rPr>
                <w:rFonts w:ascii="Arial" w:hAnsi="Arial" w:cs="Arial"/>
                <w:b/>
                <w:bCs/>
                <w:color w:val="000000"/>
                <w:sz w:val="17"/>
                <w:szCs w:val="17"/>
              </w:rPr>
              <w:t xml:space="preserve"> de ingresos:</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008C2" w:rsidRPr="002D70DA" w:rsidRDefault="00FD7D84">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008C2" w:rsidRPr="002D70DA" w:rsidRDefault="00FD7D84">
            <w:pPr>
              <w:jc w:val="center"/>
              <w:rPr>
                <w:rFonts w:ascii="Arial" w:hAnsi="Arial" w:cs="Arial"/>
                <w:b/>
                <w:bCs/>
                <w:color w:val="000000"/>
                <w:sz w:val="17"/>
                <w:szCs w:val="17"/>
              </w:rPr>
            </w:pPr>
            <w:r>
              <w:rPr>
                <w:rFonts w:ascii="Arial" w:hAnsi="Arial" w:cs="Arial"/>
                <w:b/>
                <w:bCs/>
                <w:color w:val="000000"/>
                <w:sz w:val="17"/>
                <w:szCs w:val="17"/>
              </w:rPr>
              <w:t>2019</w:t>
            </w:r>
          </w:p>
        </w:tc>
      </w:tr>
      <w:tr w:rsidR="003E0EA9" w:rsidRPr="001E79D9" w:rsidTr="003E0EA9">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3E0EA9" w:rsidRPr="00826886" w:rsidRDefault="003E0EA9" w:rsidP="003E0EA9">
            <w:pPr>
              <w:rPr>
                <w:rFonts w:ascii="Arial" w:hAnsi="Arial" w:cs="Arial"/>
                <w:sz w:val="17"/>
                <w:szCs w:val="17"/>
              </w:rPr>
            </w:pPr>
            <w:r w:rsidRPr="00826886">
              <w:rPr>
                <w:rFonts w:ascii="Arial" w:hAnsi="Arial" w:cs="Arial"/>
                <w:sz w:val="17"/>
                <w:szCs w:val="17"/>
              </w:rPr>
              <w:t>Impuestos</w:t>
            </w:r>
          </w:p>
        </w:tc>
        <w:tc>
          <w:tcPr>
            <w:tcW w:w="2180" w:type="dxa"/>
            <w:tcBorders>
              <w:top w:val="nil"/>
              <w:left w:val="nil"/>
              <w:bottom w:val="single" w:sz="4" w:space="0" w:color="auto"/>
              <w:right w:val="single" w:sz="4" w:space="0" w:color="auto"/>
            </w:tcBorders>
            <w:shd w:val="clear" w:color="auto" w:fill="auto"/>
          </w:tcPr>
          <w:p w:rsidR="003E0EA9" w:rsidRPr="003E0EA9" w:rsidRDefault="003E0EA9" w:rsidP="003E0EA9">
            <w:pPr>
              <w:jc w:val="right"/>
              <w:rPr>
                <w:rFonts w:ascii="Arial" w:hAnsi="Arial" w:cs="Arial"/>
                <w:sz w:val="17"/>
                <w:szCs w:val="17"/>
              </w:rPr>
            </w:pPr>
            <w:r w:rsidRPr="003E0EA9">
              <w:rPr>
                <w:rFonts w:ascii="Arial" w:hAnsi="Arial" w:cs="Arial"/>
                <w:sz w:val="17"/>
                <w:szCs w:val="17"/>
              </w:rPr>
              <w:t xml:space="preserve">2,747,999,288 </w:t>
            </w:r>
          </w:p>
        </w:tc>
        <w:tc>
          <w:tcPr>
            <w:tcW w:w="2180" w:type="dxa"/>
            <w:tcBorders>
              <w:top w:val="nil"/>
              <w:left w:val="nil"/>
              <w:bottom w:val="single" w:sz="4" w:space="0" w:color="auto"/>
              <w:right w:val="single" w:sz="4" w:space="0" w:color="auto"/>
            </w:tcBorders>
            <w:shd w:val="clear" w:color="auto" w:fill="auto"/>
          </w:tcPr>
          <w:p w:rsidR="003E0EA9" w:rsidRPr="00E8765F" w:rsidRDefault="003E0EA9" w:rsidP="003E0EA9">
            <w:pPr>
              <w:jc w:val="right"/>
              <w:rPr>
                <w:rFonts w:ascii="Arial" w:hAnsi="Arial" w:cs="Arial"/>
                <w:sz w:val="17"/>
                <w:szCs w:val="17"/>
              </w:rPr>
            </w:pPr>
            <w:r w:rsidRPr="00E8765F">
              <w:rPr>
                <w:rFonts w:ascii="Arial" w:hAnsi="Arial" w:cs="Arial"/>
                <w:sz w:val="17"/>
                <w:szCs w:val="17"/>
              </w:rPr>
              <w:t>2,852,445,392</w:t>
            </w:r>
          </w:p>
        </w:tc>
      </w:tr>
      <w:tr w:rsidR="003E0EA9" w:rsidRPr="001E79D9" w:rsidTr="003E0EA9">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3E0EA9" w:rsidRPr="00826886" w:rsidRDefault="003E0EA9" w:rsidP="003E0EA9">
            <w:pPr>
              <w:rPr>
                <w:rFonts w:ascii="Arial" w:hAnsi="Arial" w:cs="Arial"/>
                <w:sz w:val="17"/>
                <w:szCs w:val="17"/>
              </w:rPr>
            </w:pPr>
            <w:r w:rsidRPr="00826886">
              <w:rPr>
                <w:rFonts w:ascii="Arial" w:hAnsi="Arial" w:cs="Arial"/>
                <w:sz w:val="17"/>
                <w:szCs w:val="17"/>
              </w:rPr>
              <w:t>Derechos</w:t>
            </w:r>
          </w:p>
        </w:tc>
        <w:tc>
          <w:tcPr>
            <w:tcW w:w="2180" w:type="dxa"/>
            <w:tcBorders>
              <w:top w:val="nil"/>
              <w:left w:val="nil"/>
              <w:bottom w:val="single" w:sz="4" w:space="0" w:color="auto"/>
              <w:right w:val="single" w:sz="4" w:space="0" w:color="auto"/>
            </w:tcBorders>
            <w:shd w:val="clear" w:color="auto" w:fill="auto"/>
          </w:tcPr>
          <w:p w:rsidR="003E0EA9" w:rsidRPr="003E0EA9" w:rsidRDefault="003E0EA9" w:rsidP="003E0EA9">
            <w:pPr>
              <w:jc w:val="right"/>
              <w:rPr>
                <w:rFonts w:ascii="Arial" w:hAnsi="Arial" w:cs="Arial"/>
                <w:sz w:val="17"/>
                <w:szCs w:val="17"/>
              </w:rPr>
            </w:pPr>
            <w:r w:rsidRPr="003E0EA9">
              <w:rPr>
                <w:rFonts w:ascii="Arial" w:hAnsi="Arial" w:cs="Arial"/>
                <w:sz w:val="17"/>
                <w:szCs w:val="17"/>
              </w:rPr>
              <w:t xml:space="preserve">1,301,115,045 </w:t>
            </w:r>
          </w:p>
        </w:tc>
        <w:tc>
          <w:tcPr>
            <w:tcW w:w="2180" w:type="dxa"/>
            <w:tcBorders>
              <w:top w:val="nil"/>
              <w:left w:val="nil"/>
              <w:bottom w:val="single" w:sz="4" w:space="0" w:color="auto"/>
              <w:right w:val="single" w:sz="4" w:space="0" w:color="auto"/>
            </w:tcBorders>
            <w:shd w:val="clear" w:color="auto" w:fill="auto"/>
          </w:tcPr>
          <w:p w:rsidR="003E0EA9" w:rsidRPr="00E8765F" w:rsidRDefault="003E0EA9" w:rsidP="003E0EA9">
            <w:pPr>
              <w:jc w:val="right"/>
              <w:rPr>
                <w:rFonts w:ascii="Arial" w:hAnsi="Arial" w:cs="Arial"/>
                <w:sz w:val="17"/>
                <w:szCs w:val="17"/>
              </w:rPr>
            </w:pPr>
            <w:r w:rsidRPr="00E8765F">
              <w:rPr>
                <w:rFonts w:ascii="Arial" w:hAnsi="Arial" w:cs="Arial"/>
                <w:sz w:val="17"/>
                <w:szCs w:val="17"/>
              </w:rPr>
              <w:t>1,546,458,896</w:t>
            </w:r>
          </w:p>
        </w:tc>
      </w:tr>
      <w:tr w:rsidR="003E0EA9" w:rsidRPr="001E79D9" w:rsidTr="003E0EA9">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3E0EA9" w:rsidRPr="00826886" w:rsidRDefault="003E0EA9" w:rsidP="003E0EA9">
            <w:pPr>
              <w:rPr>
                <w:rFonts w:ascii="Arial" w:hAnsi="Arial" w:cs="Arial"/>
                <w:sz w:val="17"/>
                <w:szCs w:val="17"/>
              </w:rPr>
            </w:pPr>
            <w:r w:rsidRPr="00826886">
              <w:rPr>
                <w:rFonts w:ascii="Arial" w:hAnsi="Arial" w:cs="Arial"/>
                <w:sz w:val="17"/>
                <w:szCs w:val="17"/>
              </w:rPr>
              <w:t>Productos de Tipo Corriente</w:t>
            </w:r>
          </w:p>
        </w:tc>
        <w:tc>
          <w:tcPr>
            <w:tcW w:w="2180" w:type="dxa"/>
            <w:tcBorders>
              <w:top w:val="nil"/>
              <w:left w:val="nil"/>
              <w:bottom w:val="single" w:sz="4" w:space="0" w:color="auto"/>
              <w:right w:val="single" w:sz="4" w:space="0" w:color="auto"/>
            </w:tcBorders>
            <w:shd w:val="clear" w:color="auto" w:fill="auto"/>
          </w:tcPr>
          <w:p w:rsidR="003E0EA9" w:rsidRPr="003E0EA9" w:rsidRDefault="003E0EA9" w:rsidP="003E0EA9">
            <w:pPr>
              <w:jc w:val="right"/>
              <w:rPr>
                <w:rFonts w:ascii="Arial" w:hAnsi="Arial" w:cs="Arial"/>
                <w:sz w:val="17"/>
                <w:szCs w:val="17"/>
              </w:rPr>
            </w:pPr>
            <w:r w:rsidRPr="003E0EA9">
              <w:rPr>
                <w:rFonts w:ascii="Arial" w:hAnsi="Arial" w:cs="Arial"/>
                <w:sz w:val="17"/>
                <w:szCs w:val="17"/>
              </w:rPr>
              <w:t xml:space="preserve">388,304,774 </w:t>
            </w:r>
          </w:p>
        </w:tc>
        <w:tc>
          <w:tcPr>
            <w:tcW w:w="2180" w:type="dxa"/>
            <w:tcBorders>
              <w:top w:val="nil"/>
              <w:left w:val="nil"/>
              <w:bottom w:val="single" w:sz="4" w:space="0" w:color="auto"/>
              <w:right w:val="single" w:sz="4" w:space="0" w:color="auto"/>
            </w:tcBorders>
            <w:shd w:val="clear" w:color="auto" w:fill="auto"/>
          </w:tcPr>
          <w:p w:rsidR="003E0EA9" w:rsidRPr="003E0EA9" w:rsidRDefault="003E0EA9" w:rsidP="003E0EA9">
            <w:pPr>
              <w:jc w:val="right"/>
              <w:rPr>
                <w:rFonts w:ascii="Arial" w:hAnsi="Arial" w:cs="Arial"/>
                <w:sz w:val="17"/>
                <w:szCs w:val="17"/>
              </w:rPr>
            </w:pPr>
            <w:r w:rsidRPr="003E0EA9">
              <w:rPr>
                <w:rFonts w:ascii="Arial" w:hAnsi="Arial" w:cs="Arial"/>
                <w:sz w:val="17"/>
                <w:szCs w:val="17"/>
              </w:rPr>
              <w:t>603,229,245</w:t>
            </w:r>
          </w:p>
        </w:tc>
      </w:tr>
      <w:tr w:rsidR="003E0EA9" w:rsidRPr="001E79D9" w:rsidTr="003E0EA9">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3E0EA9" w:rsidRPr="00826886" w:rsidRDefault="003E0EA9" w:rsidP="003E0EA9">
            <w:pPr>
              <w:rPr>
                <w:rFonts w:ascii="Arial" w:hAnsi="Arial" w:cs="Arial"/>
                <w:sz w:val="17"/>
                <w:szCs w:val="17"/>
              </w:rPr>
            </w:pPr>
            <w:r w:rsidRPr="00826886">
              <w:rPr>
                <w:rFonts w:ascii="Arial" w:hAnsi="Arial" w:cs="Arial"/>
                <w:sz w:val="17"/>
                <w:szCs w:val="17"/>
              </w:rPr>
              <w:t>Aprovechamientos de Tipo Corriente</w:t>
            </w:r>
          </w:p>
        </w:tc>
        <w:tc>
          <w:tcPr>
            <w:tcW w:w="2180" w:type="dxa"/>
            <w:tcBorders>
              <w:top w:val="nil"/>
              <w:left w:val="nil"/>
              <w:bottom w:val="single" w:sz="4" w:space="0" w:color="auto"/>
              <w:right w:val="single" w:sz="4" w:space="0" w:color="auto"/>
            </w:tcBorders>
            <w:shd w:val="clear" w:color="auto" w:fill="auto"/>
          </w:tcPr>
          <w:p w:rsidR="003E0EA9" w:rsidRPr="003E0EA9" w:rsidRDefault="003E0EA9" w:rsidP="003E0EA9">
            <w:pPr>
              <w:jc w:val="right"/>
              <w:rPr>
                <w:rFonts w:ascii="Arial" w:hAnsi="Arial" w:cs="Arial"/>
                <w:sz w:val="17"/>
                <w:szCs w:val="17"/>
              </w:rPr>
            </w:pPr>
            <w:r w:rsidRPr="003E0EA9">
              <w:rPr>
                <w:rFonts w:ascii="Arial" w:hAnsi="Arial" w:cs="Arial"/>
                <w:sz w:val="17"/>
                <w:szCs w:val="17"/>
              </w:rPr>
              <w:t xml:space="preserve">161,836,288 </w:t>
            </w:r>
          </w:p>
        </w:tc>
        <w:tc>
          <w:tcPr>
            <w:tcW w:w="2180" w:type="dxa"/>
            <w:tcBorders>
              <w:top w:val="nil"/>
              <w:left w:val="nil"/>
              <w:bottom w:val="single" w:sz="4" w:space="0" w:color="auto"/>
              <w:right w:val="single" w:sz="4" w:space="0" w:color="auto"/>
            </w:tcBorders>
            <w:shd w:val="clear" w:color="auto" w:fill="auto"/>
          </w:tcPr>
          <w:p w:rsidR="003E0EA9" w:rsidRPr="00E8765F" w:rsidRDefault="003E0EA9" w:rsidP="003E0EA9">
            <w:pPr>
              <w:jc w:val="right"/>
              <w:rPr>
                <w:rFonts w:ascii="Arial" w:hAnsi="Arial" w:cs="Arial"/>
                <w:sz w:val="17"/>
                <w:szCs w:val="17"/>
              </w:rPr>
            </w:pPr>
            <w:r w:rsidRPr="00E8765F">
              <w:rPr>
                <w:rFonts w:ascii="Arial" w:hAnsi="Arial" w:cs="Arial"/>
                <w:sz w:val="17"/>
                <w:szCs w:val="17"/>
              </w:rPr>
              <w:t>209,296,537</w:t>
            </w:r>
          </w:p>
        </w:tc>
      </w:tr>
      <w:tr w:rsidR="003E0EA9" w:rsidRPr="001E79D9" w:rsidTr="003E0EA9">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3E0EA9" w:rsidRPr="00826886" w:rsidRDefault="003E0EA9" w:rsidP="003E0EA9">
            <w:pPr>
              <w:rPr>
                <w:rFonts w:ascii="Arial" w:hAnsi="Arial" w:cs="Arial"/>
                <w:sz w:val="17"/>
                <w:szCs w:val="17"/>
              </w:rPr>
            </w:pPr>
            <w:r w:rsidRPr="00826886">
              <w:rPr>
                <w:rFonts w:ascii="Arial" w:hAnsi="Arial" w:cs="Arial"/>
                <w:sz w:val="17"/>
                <w:szCs w:val="17"/>
              </w:rPr>
              <w:t>Ingresos por Venta de Bienes y Servicios</w:t>
            </w:r>
          </w:p>
        </w:tc>
        <w:tc>
          <w:tcPr>
            <w:tcW w:w="2180" w:type="dxa"/>
            <w:tcBorders>
              <w:top w:val="nil"/>
              <w:left w:val="nil"/>
              <w:bottom w:val="single" w:sz="4" w:space="0" w:color="auto"/>
              <w:right w:val="single" w:sz="4" w:space="0" w:color="auto"/>
            </w:tcBorders>
            <w:shd w:val="clear" w:color="auto" w:fill="auto"/>
          </w:tcPr>
          <w:p w:rsidR="003E0EA9" w:rsidRPr="003E0EA9" w:rsidRDefault="003E0EA9" w:rsidP="003E0EA9">
            <w:pPr>
              <w:jc w:val="right"/>
              <w:rPr>
                <w:rFonts w:ascii="Arial" w:hAnsi="Arial" w:cs="Arial"/>
                <w:sz w:val="17"/>
                <w:szCs w:val="17"/>
              </w:rPr>
            </w:pPr>
            <w:r w:rsidRPr="003E0EA9">
              <w:rPr>
                <w:rFonts w:ascii="Arial" w:hAnsi="Arial" w:cs="Arial"/>
                <w:sz w:val="17"/>
                <w:szCs w:val="17"/>
              </w:rPr>
              <w:t xml:space="preserve">6,235 </w:t>
            </w:r>
          </w:p>
        </w:tc>
        <w:tc>
          <w:tcPr>
            <w:tcW w:w="2180" w:type="dxa"/>
            <w:tcBorders>
              <w:top w:val="nil"/>
              <w:left w:val="nil"/>
              <w:bottom w:val="single" w:sz="4" w:space="0" w:color="auto"/>
              <w:right w:val="single" w:sz="4" w:space="0" w:color="auto"/>
            </w:tcBorders>
            <w:shd w:val="clear" w:color="auto" w:fill="auto"/>
          </w:tcPr>
          <w:p w:rsidR="003E0EA9" w:rsidRPr="00E8765F" w:rsidRDefault="003E0EA9" w:rsidP="003E0EA9">
            <w:pPr>
              <w:jc w:val="right"/>
              <w:rPr>
                <w:rFonts w:ascii="Arial" w:hAnsi="Arial" w:cs="Arial"/>
                <w:sz w:val="17"/>
                <w:szCs w:val="17"/>
              </w:rPr>
            </w:pPr>
            <w:r w:rsidRPr="00E8765F">
              <w:rPr>
                <w:rFonts w:ascii="Arial" w:hAnsi="Arial" w:cs="Arial"/>
                <w:sz w:val="17"/>
                <w:szCs w:val="17"/>
              </w:rPr>
              <w:t>5,154</w:t>
            </w:r>
          </w:p>
        </w:tc>
      </w:tr>
      <w:tr w:rsidR="00E8765F" w:rsidRPr="002D70DA" w:rsidTr="003E0EA9">
        <w:trPr>
          <w:trHeight w:val="240"/>
          <w:jc w:val="center"/>
        </w:trPr>
        <w:tc>
          <w:tcPr>
            <w:tcW w:w="4900" w:type="dxa"/>
            <w:tcBorders>
              <w:top w:val="nil"/>
              <w:left w:val="nil"/>
              <w:bottom w:val="nil"/>
              <w:right w:val="nil"/>
            </w:tcBorders>
            <w:shd w:val="clear" w:color="000000" w:fill="FFFFFF"/>
            <w:vAlign w:val="center"/>
            <w:hideMark/>
          </w:tcPr>
          <w:p w:rsidR="00E8765F" w:rsidRPr="002D70DA" w:rsidRDefault="00E8765F" w:rsidP="00E8765F">
            <w:pPr>
              <w:jc w:val="center"/>
              <w:rPr>
                <w:rFonts w:ascii="Arial" w:hAnsi="Arial" w:cs="Arial"/>
                <w:b/>
                <w:bCs/>
                <w:color w:val="000000"/>
                <w:sz w:val="17"/>
                <w:szCs w:val="17"/>
              </w:rPr>
            </w:pPr>
            <w:r>
              <w:rPr>
                <w:rFonts w:ascii="Arial" w:hAnsi="Arial" w:cs="Arial"/>
                <w:b/>
                <w:bCs/>
                <w:color w:val="000000"/>
                <w:sz w:val="17"/>
                <w:szCs w:val="17"/>
              </w:rPr>
              <w:t>Ingresos de Gestión</w:t>
            </w:r>
          </w:p>
        </w:tc>
        <w:tc>
          <w:tcPr>
            <w:tcW w:w="2180" w:type="dxa"/>
            <w:tcBorders>
              <w:top w:val="nil"/>
              <w:left w:val="single" w:sz="4" w:space="0" w:color="auto"/>
              <w:bottom w:val="single" w:sz="4" w:space="0" w:color="auto"/>
              <w:right w:val="single" w:sz="4" w:space="0" w:color="auto"/>
            </w:tcBorders>
            <w:shd w:val="clear" w:color="000000" w:fill="FFFFFF"/>
          </w:tcPr>
          <w:p w:rsidR="00E8765F" w:rsidRPr="00B3201B" w:rsidRDefault="003E0EA9" w:rsidP="00E8765F">
            <w:pPr>
              <w:jc w:val="right"/>
              <w:rPr>
                <w:rFonts w:ascii="Arial" w:hAnsi="Arial" w:cs="Arial"/>
                <w:b/>
                <w:sz w:val="17"/>
                <w:szCs w:val="17"/>
              </w:rPr>
            </w:pPr>
            <w:r w:rsidRPr="003E0EA9">
              <w:rPr>
                <w:rFonts w:ascii="Arial" w:hAnsi="Arial" w:cs="Arial"/>
                <w:b/>
                <w:sz w:val="17"/>
                <w:szCs w:val="17"/>
              </w:rPr>
              <w:t>4,599,261,631</w:t>
            </w:r>
          </w:p>
        </w:tc>
        <w:tc>
          <w:tcPr>
            <w:tcW w:w="2180" w:type="dxa"/>
            <w:tcBorders>
              <w:top w:val="single" w:sz="4" w:space="0" w:color="auto"/>
              <w:left w:val="nil"/>
              <w:bottom w:val="single" w:sz="4" w:space="0" w:color="auto"/>
              <w:right w:val="single" w:sz="4" w:space="0" w:color="auto"/>
            </w:tcBorders>
            <w:shd w:val="clear" w:color="000000" w:fill="FFFFFF"/>
            <w:noWrap/>
          </w:tcPr>
          <w:p w:rsidR="00E8765F" w:rsidRPr="00E8765F" w:rsidRDefault="00E8765F" w:rsidP="00E8765F">
            <w:pPr>
              <w:jc w:val="right"/>
              <w:rPr>
                <w:rFonts w:ascii="Arial" w:hAnsi="Arial" w:cs="Arial"/>
                <w:b/>
                <w:sz w:val="17"/>
                <w:szCs w:val="17"/>
              </w:rPr>
            </w:pPr>
            <w:r w:rsidRPr="00E8765F">
              <w:rPr>
                <w:rFonts w:ascii="Arial" w:hAnsi="Arial" w:cs="Arial"/>
                <w:b/>
                <w:sz w:val="17"/>
                <w:szCs w:val="17"/>
              </w:rPr>
              <w:t>5,211,435,224</w:t>
            </w:r>
          </w:p>
        </w:tc>
      </w:tr>
    </w:tbl>
    <w:p w:rsidR="00041BED" w:rsidRDefault="00041BED" w:rsidP="00CF338E">
      <w:pPr>
        <w:spacing w:before="80" w:line="250" w:lineRule="exact"/>
        <w:ind w:left="709"/>
        <w:jc w:val="both"/>
        <w:rPr>
          <w:rFonts w:ascii="Arial" w:eastAsia="Calibri" w:hAnsi="Arial" w:cs="Arial"/>
          <w:spacing w:val="-1"/>
          <w:sz w:val="17"/>
          <w:szCs w:val="17"/>
        </w:rPr>
      </w:pPr>
    </w:p>
    <w:p w:rsidR="00752A6C" w:rsidRDefault="00752A6C" w:rsidP="00752A6C">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Los cuales están distribuido de la siguiente manera:</w:t>
      </w:r>
    </w:p>
    <w:p w:rsidR="00752A6C" w:rsidRPr="002D70DA" w:rsidRDefault="00752A6C" w:rsidP="00752A6C">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3E3E0F" w:rsidRPr="002D70DA" w:rsidTr="003E0EA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E3E0F" w:rsidRPr="002D70DA" w:rsidRDefault="003E3E0F" w:rsidP="00F338A3">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3E3E0F"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3E3E0F"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2019</w:t>
            </w:r>
          </w:p>
        </w:tc>
      </w:tr>
      <w:tr w:rsidR="003E0EA9" w:rsidRPr="002D70DA" w:rsidTr="003E0EA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3E0EA9" w:rsidRPr="00C34218" w:rsidRDefault="003E0EA9" w:rsidP="003E0EA9">
            <w:pPr>
              <w:rPr>
                <w:rFonts w:ascii="Arial" w:hAnsi="Arial" w:cs="Arial"/>
                <w:b/>
                <w:sz w:val="17"/>
                <w:szCs w:val="17"/>
              </w:rPr>
            </w:pPr>
            <w:r w:rsidRPr="00C34218">
              <w:rPr>
                <w:rFonts w:ascii="Arial" w:hAnsi="Arial" w:cs="Arial"/>
                <w:b/>
                <w:sz w:val="17"/>
                <w:szCs w:val="17"/>
              </w:rPr>
              <w:t>Poder Ejecutivo</w:t>
            </w:r>
          </w:p>
        </w:tc>
        <w:tc>
          <w:tcPr>
            <w:tcW w:w="2180" w:type="dxa"/>
            <w:tcBorders>
              <w:top w:val="single" w:sz="4" w:space="0" w:color="auto"/>
              <w:left w:val="nil"/>
              <w:bottom w:val="single" w:sz="4" w:space="0" w:color="auto"/>
              <w:right w:val="single" w:sz="4" w:space="0" w:color="auto"/>
            </w:tcBorders>
            <w:shd w:val="clear" w:color="auto" w:fill="auto"/>
          </w:tcPr>
          <w:p w:rsidR="003E0EA9" w:rsidRPr="003E0EA9" w:rsidRDefault="003E0EA9" w:rsidP="003E0EA9">
            <w:pPr>
              <w:jc w:val="right"/>
              <w:rPr>
                <w:rFonts w:ascii="Arial" w:hAnsi="Arial" w:cs="Arial"/>
                <w:b/>
                <w:sz w:val="17"/>
                <w:szCs w:val="17"/>
              </w:rPr>
            </w:pPr>
            <w:r w:rsidRPr="003E0EA9">
              <w:rPr>
                <w:rFonts w:ascii="Arial" w:hAnsi="Arial" w:cs="Arial"/>
                <w:b/>
                <w:sz w:val="17"/>
                <w:szCs w:val="17"/>
              </w:rPr>
              <w:t xml:space="preserve">4,567,322,417 </w:t>
            </w:r>
          </w:p>
        </w:tc>
        <w:tc>
          <w:tcPr>
            <w:tcW w:w="2180" w:type="dxa"/>
            <w:tcBorders>
              <w:top w:val="single" w:sz="4" w:space="0" w:color="auto"/>
              <w:left w:val="nil"/>
              <w:bottom w:val="single" w:sz="4" w:space="0" w:color="auto"/>
              <w:right w:val="single" w:sz="4" w:space="0" w:color="auto"/>
            </w:tcBorders>
            <w:shd w:val="clear" w:color="auto" w:fill="auto"/>
          </w:tcPr>
          <w:p w:rsidR="003E0EA9" w:rsidRPr="003E0EA9" w:rsidRDefault="003E0EA9" w:rsidP="003E0EA9">
            <w:pPr>
              <w:jc w:val="right"/>
              <w:rPr>
                <w:rFonts w:ascii="Arial" w:hAnsi="Arial" w:cs="Arial"/>
                <w:b/>
                <w:sz w:val="17"/>
                <w:szCs w:val="17"/>
              </w:rPr>
            </w:pPr>
            <w:r w:rsidRPr="003E0EA9">
              <w:rPr>
                <w:rFonts w:ascii="Arial" w:hAnsi="Arial" w:cs="Arial"/>
                <w:b/>
                <w:sz w:val="17"/>
                <w:szCs w:val="17"/>
              </w:rPr>
              <w:t xml:space="preserve">5,171,457,555 </w:t>
            </w:r>
          </w:p>
        </w:tc>
      </w:tr>
      <w:tr w:rsidR="003E0EA9" w:rsidRPr="002D70DA" w:rsidTr="003E0EA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3E0EA9" w:rsidRPr="00C34218" w:rsidRDefault="003E0EA9" w:rsidP="003E0EA9">
            <w:pPr>
              <w:rPr>
                <w:rFonts w:ascii="Arial" w:hAnsi="Arial" w:cs="Arial"/>
                <w:b/>
                <w:sz w:val="17"/>
                <w:szCs w:val="17"/>
              </w:rPr>
            </w:pPr>
            <w:r w:rsidRPr="00C34218">
              <w:rPr>
                <w:rFonts w:ascii="Arial" w:hAnsi="Arial" w:cs="Arial"/>
                <w:b/>
                <w:sz w:val="17"/>
                <w:szCs w:val="17"/>
              </w:rPr>
              <w:t>Poder Judicial</w:t>
            </w:r>
          </w:p>
        </w:tc>
        <w:tc>
          <w:tcPr>
            <w:tcW w:w="2180" w:type="dxa"/>
            <w:tcBorders>
              <w:top w:val="single" w:sz="4" w:space="0" w:color="auto"/>
              <w:left w:val="nil"/>
              <w:bottom w:val="single" w:sz="4" w:space="0" w:color="auto"/>
              <w:right w:val="single" w:sz="4" w:space="0" w:color="auto"/>
            </w:tcBorders>
            <w:shd w:val="clear" w:color="auto" w:fill="auto"/>
          </w:tcPr>
          <w:p w:rsidR="003E0EA9" w:rsidRPr="003E0EA9" w:rsidRDefault="003E0EA9" w:rsidP="003E0EA9">
            <w:pPr>
              <w:jc w:val="right"/>
              <w:rPr>
                <w:rFonts w:ascii="Arial" w:hAnsi="Arial" w:cs="Arial"/>
                <w:b/>
                <w:sz w:val="17"/>
                <w:szCs w:val="17"/>
              </w:rPr>
            </w:pPr>
            <w:r w:rsidRPr="003E0EA9">
              <w:rPr>
                <w:rFonts w:ascii="Arial" w:hAnsi="Arial" w:cs="Arial"/>
                <w:b/>
                <w:sz w:val="17"/>
                <w:szCs w:val="17"/>
              </w:rPr>
              <w:t xml:space="preserve">8,875,800 </w:t>
            </w:r>
          </w:p>
        </w:tc>
        <w:tc>
          <w:tcPr>
            <w:tcW w:w="2180" w:type="dxa"/>
            <w:tcBorders>
              <w:top w:val="single" w:sz="4" w:space="0" w:color="auto"/>
              <w:left w:val="nil"/>
              <w:bottom w:val="single" w:sz="4" w:space="0" w:color="auto"/>
              <w:right w:val="single" w:sz="4" w:space="0" w:color="auto"/>
            </w:tcBorders>
            <w:shd w:val="clear" w:color="auto" w:fill="auto"/>
          </w:tcPr>
          <w:p w:rsidR="003E0EA9" w:rsidRPr="003E0EA9" w:rsidRDefault="003E0EA9" w:rsidP="003E0EA9">
            <w:pPr>
              <w:jc w:val="right"/>
              <w:rPr>
                <w:rFonts w:ascii="Arial" w:hAnsi="Arial" w:cs="Arial"/>
                <w:b/>
                <w:sz w:val="17"/>
                <w:szCs w:val="17"/>
              </w:rPr>
            </w:pPr>
            <w:r w:rsidRPr="003E0EA9">
              <w:rPr>
                <w:rFonts w:ascii="Arial" w:hAnsi="Arial" w:cs="Arial"/>
                <w:b/>
                <w:sz w:val="17"/>
                <w:szCs w:val="17"/>
              </w:rPr>
              <w:t xml:space="preserve">7,602,210 </w:t>
            </w:r>
          </w:p>
        </w:tc>
      </w:tr>
      <w:tr w:rsidR="003E0EA9" w:rsidRPr="002D70DA" w:rsidTr="003E0EA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3E0EA9" w:rsidRPr="00C34218" w:rsidRDefault="003E0EA9" w:rsidP="003E0EA9">
            <w:pPr>
              <w:rPr>
                <w:rFonts w:ascii="Arial" w:hAnsi="Arial" w:cs="Arial"/>
                <w:b/>
                <w:sz w:val="17"/>
                <w:szCs w:val="17"/>
              </w:rPr>
            </w:pPr>
            <w:r w:rsidRPr="00C34218">
              <w:rPr>
                <w:rFonts w:ascii="Arial" w:hAnsi="Arial" w:cs="Arial"/>
                <w:b/>
                <w:sz w:val="17"/>
                <w:szCs w:val="17"/>
              </w:rPr>
              <w:t>Poder Legislativo</w:t>
            </w:r>
          </w:p>
        </w:tc>
        <w:tc>
          <w:tcPr>
            <w:tcW w:w="2180" w:type="dxa"/>
            <w:tcBorders>
              <w:top w:val="single" w:sz="4" w:space="0" w:color="auto"/>
              <w:left w:val="nil"/>
              <w:bottom w:val="single" w:sz="4" w:space="0" w:color="auto"/>
              <w:right w:val="single" w:sz="4" w:space="0" w:color="auto"/>
            </w:tcBorders>
            <w:shd w:val="clear" w:color="auto" w:fill="auto"/>
          </w:tcPr>
          <w:p w:rsidR="003E0EA9" w:rsidRPr="003E0EA9" w:rsidRDefault="003E0EA9" w:rsidP="003E0EA9">
            <w:pPr>
              <w:jc w:val="right"/>
              <w:rPr>
                <w:rFonts w:ascii="Arial" w:hAnsi="Arial" w:cs="Arial"/>
                <w:b/>
                <w:sz w:val="17"/>
                <w:szCs w:val="17"/>
              </w:rPr>
            </w:pPr>
            <w:r w:rsidRPr="003E0EA9">
              <w:rPr>
                <w:rFonts w:ascii="Arial" w:hAnsi="Arial" w:cs="Arial"/>
                <w:b/>
                <w:sz w:val="17"/>
                <w:szCs w:val="17"/>
              </w:rPr>
              <w:t xml:space="preserve">92,341 </w:t>
            </w:r>
          </w:p>
        </w:tc>
        <w:tc>
          <w:tcPr>
            <w:tcW w:w="2180" w:type="dxa"/>
            <w:tcBorders>
              <w:top w:val="single" w:sz="4" w:space="0" w:color="auto"/>
              <w:left w:val="nil"/>
              <w:bottom w:val="single" w:sz="4" w:space="0" w:color="auto"/>
              <w:right w:val="single" w:sz="4" w:space="0" w:color="auto"/>
            </w:tcBorders>
            <w:shd w:val="clear" w:color="auto" w:fill="auto"/>
          </w:tcPr>
          <w:p w:rsidR="003E0EA9" w:rsidRPr="003E0EA9" w:rsidRDefault="003E0EA9" w:rsidP="003E0EA9">
            <w:pPr>
              <w:jc w:val="right"/>
              <w:rPr>
                <w:rFonts w:ascii="Arial" w:hAnsi="Arial" w:cs="Arial"/>
                <w:b/>
                <w:sz w:val="17"/>
                <w:szCs w:val="17"/>
              </w:rPr>
            </w:pPr>
            <w:r w:rsidRPr="003E0EA9">
              <w:rPr>
                <w:rFonts w:ascii="Arial" w:hAnsi="Arial" w:cs="Arial"/>
                <w:b/>
                <w:sz w:val="17"/>
                <w:szCs w:val="17"/>
              </w:rPr>
              <w:t xml:space="preserve">147,414 </w:t>
            </w:r>
          </w:p>
        </w:tc>
      </w:tr>
      <w:tr w:rsidR="003E0EA9" w:rsidRPr="002D70DA" w:rsidTr="003E0EA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3E0EA9" w:rsidRPr="00C34218" w:rsidRDefault="003E0EA9" w:rsidP="003E0EA9">
            <w:pPr>
              <w:rPr>
                <w:rFonts w:ascii="Arial" w:hAnsi="Arial" w:cs="Arial"/>
                <w:b/>
                <w:sz w:val="17"/>
                <w:szCs w:val="17"/>
              </w:rPr>
            </w:pPr>
            <w:r w:rsidRPr="00C34218">
              <w:rPr>
                <w:rFonts w:ascii="Arial" w:hAnsi="Arial" w:cs="Arial"/>
                <w:b/>
                <w:sz w:val="17"/>
                <w:szCs w:val="17"/>
              </w:rPr>
              <w:t>Órganos Autónomos</w:t>
            </w:r>
          </w:p>
        </w:tc>
        <w:tc>
          <w:tcPr>
            <w:tcW w:w="2180" w:type="dxa"/>
            <w:tcBorders>
              <w:top w:val="single" w:sz="4" w:space="0" w:color="auto"/>
              <w:left w:val="nil"/>
              <w:bottom w:val="single" w:sz="4" w:space="0" w:color="auto"/>
              <w:right w:val="single" w:sz="4" w:space="0" w:color="auto"/>
            </w:tcBorders>
            <w:shd w:val="clear" w:color="auto" w:fill="auto"/>
          </w:tcPr>
          <w:p w:rsidR="003E0EA9" w:rsidRPr="003E0EA9" w:rsidRDefault="003E0EA9" w:rsidP="003E0EA9">
            <w:pPr>
              <w:jc w:val="right"/>
              <w:rPr>
                <w:rFonts w:ascii="Arial" w:hAnsi="Arial" w:cs="Arial"/>
                <w:b/>
                <w:sz w:val="17"/>
                <w:szCs w:val="17"/>
              </w:rPr>
            </w:pPr>
            <w:r w:rsidRPr="003E0EA9">
              <w:rPr>
                <w:rFonts w:ascii="Arial" w:hAnsi="Arial" w:cs="Arial"/>
                <w:b/>
                <w:sz w:val="17"/>
                <w:szCs w:val="17"/>
              </w:rPr>
              <w:t xml:space="preserve">22,971,073 </w:t>
            </w:r>
          </w:p>
        </w:tc>
        <w:tc>
          <w:tcPr>
            <w:tcW w:w="2180" w:type="dxa"/>
            <w:tcBorders>
              <w:top w:val="single" w:sz="4" w:space="0" w:color="auto"/>
              <w:left w:val="nil"/>
              <w:bottom w:val="single" w:sz="4" w:space="0" w:color="auto"/>
              <w:right w:val="single" w:sz="4" w:space="0" w:color="auto"/>
            </w:tcBorders>
            <w:shd w:val="clear" w:color="auto" w:fill="auto"/>
          </w:tcPr>
          <w:p w:rsidR="003E0EA9" w:rsidRPr="003E0EA9" w:rsidRDefault="003E0EA9" w:rsidP="003E0EA9">
            <w:pPr>
              <w:jc w:val="right"/>
              <w:rPr>
                <w:rFonts w:ascii="Arial" w:hAnsi="Arial" w:cs="Arial"/>
                <w:b/>
                <w:sz w:val="17"/>
                <w:szCs w:val="17"/>
              </w:rPr>
            </w:pPr>
            <w:r w:rsidRPr="003E0EA9">
              <w:rPr>
                <w:rFonts w:ascii="Arial" w:hAnsi="Arial" w:cs="Arial"/>
                <w:b/>
                <w:sz w:val="17"/>
                <w:szCs w:val="17"/>
              </w:rPr>
              <w:t xml:space="preserve">32,228,046 </w:t>
            </w:r>
          </w:p>
        </w:tc>
      </w:tr>
      <w:tr w:rsidR="003E0EA9" w:rsidRPr="002D70DA" w:rsidTr="003E0EA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3E0EA9" w:rsidRPr="00560A6D" w:rsidRDefault="003E0EA9" w:rsidP="003E0EA9">
            <w:pPr>
              <w:ind w:left="497"/>
              <w:rPr>
                <w:rFonts w:ascii="Arial" w:hAnsi="Arial" w:cs="Arial"/>
                <w:sz w:val="17"/>
                <w:szCs w:val="17"/>
              </w:rPr>
            </w:pPr>
            <w:r w:rsidRPr="00C34218">
              <w:rPr>
                <w:rFonts w:ascii="Arial" w:hAnsi="Arial" w:cs="Arial"/>
                <w:sz w:val="17"/>
                <w:szCs w:val="17"/>
              </w:rPr>
              <w:t>Defensoría de los Derechos Humanos de Querétaro</w:t>
            </w:r>
          </w:p>
        </w:tc>
        <w:tc>
          <w:tcPr>
            <w:tcW w:w="2180" w:type="dxa"/>
            <w:tcBorders>
              <w:top w:val="single" w:sz="4" w:space="0" w:color="auto"/>
              <w:left w:val="nil"/>
              <w:bottom w:val="single" w:sz="4" w:space="0" w:color="auto"/>
              <w:right w:val="single" w:sz="4" w:space="0" w:color="auto"/>
            </w:tcBorders>
            <w:shd w:val="clear" w:color="auto" w:fill="auto"/>
          </w:tcPr>
          <w:p w:rsidR="003E0EA9" w:rsidRPr="003E0EA9" w:rsidRDefault="003E0EA9" w:rsidP="003E0EA9">
            <w:pPr>
              <w:jc w:val="right"/>
              <w:rPr>
                <w:rFonts w:ascii="Arial" w:hAnsi="Arial" w:cs="Arial"/>
                <w:sz w:val="17"/>
                <w:szCs w:val="17"/>
              </w:rPr>
            </w:pPr>
            <w:r w:rsidRPr="003E0EA9">
              <w:rPr>
                <w:rFonts w:ascii="Arial" w:hAnsi="Arial" w:cs="Arial"/>
                <w:sz w:val="17"/>
                <w:szCs w:val="17"/>
              </w:rPr>
              <w:t xml:space="preserve">0 </w:t>
            </w:r>
          </w:p>
        </w:tc>
        <w:tc>
          <w:tcPr>
            <w:tcW w:w="2180" w:type="dxa"/>
            <w:tcBorders>
              <w:top w:val="single" w:sz="4" w:space="0" w:color="auto"/>
              <w:left w:val="nil"/>
              <w:bottom w:val="single" w:sz="4" w:space="0" w:color="auto"/>
              <w:right w:val="single" w:sz="4" w:space="0" w:color="auto"/>
            </w:tcBorders>
            <w:shd w:val="clear" w:color="auto" w:fill="auto"/>
          </w:tcPr>
          <w:p w:rsidR="003E0EA9" w:rsidRPr="003E0EA9" w:rsidRDefault="003E0EA9" w:rsidP="003E0EA9">
            <w:pPr>
              <w:jc w:val="right"/>
              <w:rPr>
                <w:rFonts w:ascii="Arial" w:hAnsi="Arial" w:cs="Arial"/>
                <w:sz w:val="17"/>
                <w:szCs w:val="17"/>
              </w:rPr>
            </w:pPr>
            <w:r w:rsidRPr="003E0EA9">
              <w:rPr>
                <w:rFonts w:ascii="Arial" w:hAnsi="Arial" w:cs="Arial"/>
                <w:sz w:val="17"/>
                <w:szCs w:val="17"/>
              </w:rPr>
              <w:t xml:space="preserve">176 </w:t>
            </w:r>
          </w:p>
        </w:tc>
      </w:tr>
      <w:tr w:rsidR="003E0EA9" w:rsidRPr="002D70DA" w:rsidTr="003E0EA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3E0EA9" w:rsidRPr="00C34218" w:rsidRDefault="003E0EA9" w:rsidP="003E0EA9">
            <w:pPr>
              <w:ind w:left="497"/>
              <w:rPr>
                <w:rFonts w:ascii="Arial" w:hAnsi="Arial" w:cs="Arial"/>
                <w:sz w:val="17"/>
                <w:szCs w:val="17"/>
              </w:rPr>
            </w:pPr>
            <w:r w:rsidRPr="00C34218">
              <w:rPr>
                <w:rFonts w:ascii="Arial" w:hAnsi="Arial" w:cs="Arial"/>
                <w:sz w:val="17"/>
                <w:szCs w:val="17"/>
              </w:rPr>
              <w:t>Entidad Superior de Fiscalización del Estado de</w:t>
            </w:r>
          </w:p>
          <w:p w:rsidR="003E0EA9" w:rsidRPr="00C34218" w:rsidRDefault="003E0EA9" w:rsidP="003E0EA9">
            <w:pPr>
              <w:ind w:left="497"/>
              <w:rPr>
                <w:rFonts w:ascii="Arial" w:hAnsi="Arial" w:cs="Arial"/>
                <w:sz w:val="17"/>
                <w:szCs w:val="17"/>
              </w:rPr>
            </w:pPr>
            <w:r w:rsidRPr="00C34218">
              <w:rPr>
                <w:rFonts w:ascii="Arial" w:hAnsi="Arial" w:cs="Arial"/>
                <w:sz w:val="17"/>
                <w:szCs w:val="17"/>
              </w:rPr>
              <w:t>Querétaro</w:t>
            </w:r>
          </w:p>
        </w:tc>
        <w:tc>
          <w:tcPr>
            <w:tcW w:w="2180" w:type="dxa"/>
            <w:tcBorders>
              <w:top w:val="single" w:sz="4" w:space="0" w:color="auto"/>
              <w:left w:val="nil"/>
              <w:bottom w:val="single" w:sz="4" w:space="0" w:color="auto"/>
              <w:right w:val="single" w:sz="4" w:space="0" w:color="auto"/>
            </w:tcBorders>
            <w:shd w:val="clear" w:color="auto" w:fill="auto"/>
          </w:tcPr>
          <w:p w:rsidR="003E0EA9" w:rsidRPr="003E0EA9" w:rsidRDefault="003E0EA9" w:rsidP="003E0EA9">
            <w:pPr>
              <w:jc w:val="right"/>
              <w:rPr>
                <w:rFonts w:ascii="Arial" w:hAnsi="Arial" w:cs="Arial"/>
                <w:sz w:val="17"/>
                <w:szCs w:val="17"/>
              </w:rPr>
            </w:pPr>
            <w:r w:rsidRPr="003E0EA9">
              <w:rPr>
                <w:rFonts w:ascii="Arial" w:hAnsi="Arial" w:cs="Arial"/>
                <w:sz w:val="17"/>
                <w:szCs w:val="17"/>
              </w:rPr>
              <w:t xml:space="preserve">0 </w:t>
            </w:r>
          </w:p>
        </w:tc>
        <w:tc>
          <w:tcPr>
            <w:tcW w:w="2180" w:type="dxa"/>
            <w:tcBorders>
              <w:top w:val="single" w:sz="4" w:space="0" w:color="auto"/>
              <w:left w:val="nil"/>
              <w:bottom w:val="single" w:sz="4" w:space="0" w:color="auto"/>
              <w:right w:val="single" w:sz="4" w:space="0" w:color="auto"/>
            </w:tcBorders>
            <w:shd w:val="clear" w:color="auto" w:fill="auto"/>
          </w:tcPr>
          <w:p w:rsidR="003E0EA9" w:rsidRPr="003E0EA9" w:rsidRDefault="003E0EA9" w:rsidP="003E0EA9">
            <w:pPr>
              <w:jc w:val="right"/>
              <w:rPr>
                <w:rFonts w:ascii="Arial" w:hAnsi="Arial" w:cs="Arial"/>
                <w:sz w:val="17"/>
                <w:szCs w:val="17"/>
              </w:rPr>
            </w:pPr>
            <w:r w:rsidRPr="003E0EA9">
              <w:rPr>
                <w:rFonts w:ascii="Arial" w:hAnsi="Arial" w:cs="Arial"/>
                <w:sz w:val="17"/>
                <w:szCs w:val="17"/>
              </w:rPr>
              <w:t xml:space="preserve">25,347 </w:t>
            </w:r>
          </w:p>
        </w:tc>
      </w:tr>
      <w:tr w:rsidR="003E0EA9" w:rsidRPr="002D70DA" w:rsidTr="003E0EA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3E0EA9" w:rsidRPr="00C34218" w:rsidRDefault="003E0EA9" w:rsidP="003E0EA9">
            <w:pPr>
              <w:ind w:left="497"/>
              <w:rPr>
                <w:rFonts w:ascii="Arial" w:hAnsi="Arial" w:cs="Arial"/>
                <w:sz w:val="17"/>
                <w:szCs w:val="17"/>
              </w:rPr>
            </w:pPr>
            <w:r w:rsidRPr="00C34218">
              <w:rPr>
                <w:rFonts w:ascii="Arial" w:hAnsi="Arial" w:cs="Arial"/>
                <w:sz w:val="17"/>
                <w:szCs w:val="17"/>
              </w:rPr>
              <w:t>Fiscalía General del Estado</w:t>
            </w:r>
          </w:p>
        </w:tc>
        <w:tc>
          <w:tcPr>
            <w:tcW w:w="2180" w:type="dxa"/>
            <w:tcBorders>
              <w:top w:val="single" w:sz="4" w:space="0" w:color="auto"/>
              <w:left w:val="nil"/>
              <w:bottom w:val="single" w:sz="4" w:space="0" w:color="auto"/>
              <w:right w:val="single" w:sz="4" w:space="0" w:color="auto"/>
            </w:tcBorders>
            <w:shd w:val="clear" w:color="auto" w:fill="auto"/>
          </w:tcPr>
          <w:p w:rsidR="003E0EA9" w:rsidRPr="003E0EA9" w:rsidRDefault="003E0EA9" w:rsidP="003E0EA9">
            <w:pPr>
              <w:jc w:val="right"/>
              <w:rPr>
                <w:rFonts w:ascii="Arial" w:hAnsi="Arial" w:cs="Arial"/>
                <w:sz w:val="17"/>
                <w:szCs w:val="17"/>
              </w:rPr>
            </w:pPr>
            <w:r w:rsidRPr="003E0EA9">
              <w:rPr>
                <w:rFonts w:ascii="Arial" w:hAnsi="Arial" w:cs="Arial"/>
                <w:sz w:val="17"/>
                <w:szCs w:val="17"/>
              </w:rPr>
              <w:t xml:space="preserve">21,988,669 </w:t>
            </w:r>
          </w:p>
        </w:tc>
        <w:tc>
          <w:tcPr>
            <w:tcW w:w="2180" w:type="dxa"/>
            <w:tcBorders>
              <w:top w:val="single" w:sz="4" w:space="0" w:color="auto"/>
              <w:left w:val="nil"/>
              <w:bottom w:val="single" w:sz="4" w:space="0" w:color="auto"/>
              <w:right w:val="single" w:sz="4" w:space="0" w:color="auto"/>
            </w:tcBorders>
            <w:shd w:val="clear" w:color="auto" w:fill="auto"/>
          </w:tcPr>
          <w:p w:rsidR="003E0EA9" w:rsidRPr="003E0EA9" w:rsidRDefault="003E0EA9" w:rsidP="003E0EA9">
            <w:pPr>
              <w:jc w:val="right"/>
              <w:rPr>
                <w:rFonts w:ascii="Arial" w:hAnsi="Arial" w:cs="Arial"/>
                <w:sz w:val="17"/>
                <w:szCs w:val="17"/>
              </w:rPr>
            </w:pPr>
            <w:r w:rsidRPr="003E0EA9">
              <w:rPr>
                <w:rFonts w:ascii="Arial" w:hAnsi="Arial" w:cs="Arial"/>
                <w:sz w:val="17"/>
                <w:szCs w:val="17"/>
              </w:rPr>
              <w:t xml:space="preserve">32,176,115 </w:t>
            </w:r>
          </w:p>
        </w:tc>
      </w:tr>
      <w:tr w:rsidR="003E0EA9" w:rsidRPr="002D70DA" w:rsidTr="003E0EA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3E0EA9" w:rsidRPr="00560A6D" w:rsidRDefault="003E0EA9" w:rsidP="003E0EA9">
            <w:pPr>
              <w:ind w:left="497"/>
              <w:rPr>
                <w:rFonts w:ascii="Arial" w:hAnsi="Arial" w:cs="Arial"/>
                <w:sz w:val="17"/>
                <w:szCs w:val="17"/>
              </w:rPr>
            </w:pPr>
            <w:r w:rsidRPr="00C34218">
              <w:rPr>
                <w:rFonts w:ascii="Arial" w:hAnsi="Arial" w:cs="Arial"/>
                <w:sz w:val="17"/>
                <w:szCs w:val="17"/>
              </w:rPr>
              <w:t>Instituto Electoral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3E0EA9" w:rsidRPr="003E0EA9" w:rsidRDefault="003E0EA9" w:rsidP="003E0EA9">
            <w:pPr>
              <w:jc w:val="right"/>
              <w:rPr>
                <w:rFonts w:ascii="Arial" w:hAnsi="Arial" w:cs="Arial"/>
                <w:sz w:val="17"/>
                <w:szCs w:val="17"/>
              </w:rPr>
            </w:pPr>
            <w:r w:rsidRPr="003E0EA9">
              <w:rPr>
                <w:rFonts w:ascii="Arial" w:hAnsi="Arial" w:cs="Arial"/>
                <w:sz w:val="17"/>
                <w:szCs w:val="17"/>
              </w:rPr>
              <w:t xml:space="preserve">6,235 </w:t>
            </w:r>
          </w:p>
        </w:tc>
        <w:tc>
          <w:tcPr>
            <w:tcW w:w="2180" w:type="dxa"/>
            <w:tcBorders>
              <w:top w:val="single" w:sz="4" w:space="0" w:color="auto"/>
              <w:left w:val="nil"/>
              <w:bottom w:val="single" w:sz="4" w:space="0" w:color="auto"/>
              <w:right w:val="single" w:sz="4" w:space="0" w:color="auto"/>
            </w:tcBorders>
            <w:shd w:val="clear" w:color="auto" w:fill="auto"/>
          </w:tcPr>
          <w:p w:rsidR="003E0EA9" w:rsidRPr="003E0EA9" w:rsidRDefault="003E0EA9" w:rsidP="003E0EA9">
            <w:pPr>
              <w:jc w:val="right"/>
              <w:rPr>
                <w:rFonts w:ascii="Arial" w:hAnsi="Arial" w:cs="Arial"/>
                <w:sz w:val="17"/>
                <w:szCs w:val="17"/>
              </w:rPr>
            </w:pPr>
            <w:r w:rsidRPr="003E0EA9">
              <w:rPr>
                <w:rFonts w:ascii="Arial" w:hAnsi="Arial" w:cs="Arial"/>
                <w:sz w:val="17"/>
                <w:szCs w:val="17"/>
              </w:rPr>
              <w:t xml:space="preserve">5,154 </w:t>
            </w:r>
          </w:p>
        </w:tc>
      </w:tr>
      <w:tr w:rsidR="003E0EA9" w:rsidRPr="002D70DA" w:rsidTr="003E0EA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3E0EA9" w:rsidRPr="00C34218" w:rsidRDefault="003E0EA9" w:rsidP="003E0EA9">
            <w:pPr>
              <w:ind w:left="497"/>
              <w:rPr>
                <w:rFonts w:ascii="Arial" w:hAnsi="Arial" w:cs="Arial"/>
                <w:sz w:val="17"/>
                <w:szCs w:val="17"/>
              </w:rPr>
            </w:pPr>
            <w:r w:rsidRPr="00C34218">
              <w:rPr>
                <w:rFonts w:ascii="Arial" w:hAnsi="Arial" w:cs="Arial"/>
                <w:sz w:val="17"/>
                <w:szCs w:val="17"/>
              </w:rPr>
              <w:t>Tribunal de Justicia Administrativa del Estado de</w:t>
            </w:r>
          </w:p>
          <w:p w:rsidR="003E0EA9" w:rsidRPr="00560A6D" w:rsidRDefault="003E0EA9" w:rsidP="003E0EA9">
            <w:pPr>
              <w:ind w:left="497"/>
              <w:rPr>
                <w:rFonts w:ascii="Arial" w:hAnsi="Arial" w:cs="Arial"/>
                <w:sz w:val="17"/>
                <w:szCs w:val="17"/>
              </w:rPr>
            </w:pPr>
            <w:r w:rsidRPr="00C34218">
              <w:rPr>
                <w:rFonts w:ascii="Arial" w:hAnsi="Arial" w:cs="Arial"/>
                <w:sz w:val="17"/>
                <w:szCs w:val="17"/>
              </w:rPr>
              <w:t>Querétaro</w:t>
            </w:r>
          </w:p>
        </w:tc>
        <w:tc>
          <w:tcPr>
            <w:tcW w:w="2180" w:type="dxa"/>
            <w:tcBorders>
              <w:top w:val="single" w:sz="4" w:space="0" w:color="auto"/>
              <w:left w:val="nil"/>
              <w:bottom w:val="single" w:sz="4" w:space="0" w:color="auto"/>
              <w:right w:val="single" w:sz="4" w:space="0" w:color="auto"/>
            </w:tcBorders>
            <w:shd w:val="clear" w:color="auto" w:fill="auto"/>
          </w:tcPr>
          <w:p w:rsidR="003E0EA9" w:rsidRPr="003E0EA9" w:rsidRDefault="003E0EA9" w:rsidP="003E0EA9">
            <w:pPr>
              <w:jc w:val="right"/>
              <w:rPr>
                <w:rFonts w:ascii="Arial" w:hAnsi="Arial" w:cs="Arial"/>
                <w:sz w:val="17"/>
                <w:szCs w:val="17"/>
              </w:rPr>
            </w:pPr>
            <w:r w:rsidRPr="003E0EA9">
              <w:rPr>
                <w:rFonts w:ascii="Arial" w:hAnsi="Arial" w:cs="Arial"/>
                <w:sz w:val="17"/>
                <w:szCs w:val="17"/>
              </w:rPr>
              <w:t>13,214</w:t>
            </w:r>
          </w:p>
        </w:tc>
        <w:tc>
          <w:tcPr>
            <w:tcW w:w="2180" w:type="dxa"/>
            <w:tcBorders>
              <w:top w:val="single" w:sz="4" w:space="0" w:color="auto"/>
              <w:left w:val="nil"/>
              <w:bottom w:val="single" w:sz="4" w:space="0" w:color="auto"/>
              <w:right w:val="single" w:sz="4" w:space="0" w:color="auto"/>
            </w:tcBorders>
            <w:shd w:val="clear" w:color="auto" w:fill="auto"/>
          </w:tcPr>
          <w:p w:rsidR="003E0EA9" w:rsidRPr="003E0EA9" w:rsidRDefault="003E0EA9" w:rsidP="003E0EA9">
            <w:pPr>
              <w:jc w:val="right"/>
              <w:rPr>
                <w:rFonts w:ascii="Arial" w:hAnsi="Arial" w:cs="Arial"/>
                <w:sz w:val="17"/>
                <w:szCs w:val="17"/>
              </w:rPr>
            </w:pPr>
            <w:r w:rsidRPr="003E0EA9">
              <w:rPr>
                <w:rFonts w:ascii="Arial" w:hAnsi="Arial" w:cs="Arial"/>
                <w:sz w:val="17"/>
                <w:szCs w:val="17"/>
              </w:rPr>
              <w:t xml:space="preserve">21,254 </w:t>
            </w:r>
          </w:p>
        </w:tc>
      </w:tr>
      <w:tr w:rsidR="003E0EA9" w:rsidRPr="002D70DA" w:rsidTr="003E0EA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3E0EA9" w:rsidRPr="00560A6D" w:rsidRDefault="003E0EA9" w:rsidP="003E0EA9">
            <w:pPr>
              <w:ind w:left="497"/>
              <w:rPr>
                <w:rFonts w:ascii="Arial" w:hAnsi="Arial" w:cs="Arial"/>
                <w:sz w:val="17"/>
                <w:szCs w:val="17"/>
              </w:rPr>
            </w:pPr>
            <w:r w:rsidRPr="00C34218">
              <w:rPr>
                <w:rFonts w:ascii="Arial" w:hAnsi="Arial" w:cs="Arial"/>
                <w:sz w:val="17"/>
                <w:szCs w:val="17"/>
              </w:rPr>
              <w:t>Tribunal Electoral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3E0EA9" w:rsidRPr="003E0EA9" w:rsidRDefault="003E0EA9" w:rsidP="003E0EA9">
            <w:pPr>
              <w:jc w:val="right"/>
              <w:rPr>
                <w:rFonts w:ascii="Arial" w:hAnsi="Arial" w:cs="Arial"/>
                <w:sz w:val="17"/>
                <w:szCs w:val="17"/>
              </w:rPr>
            </w:pPr>
            <w:r w:rsidRPr="003E0EA9">
              <w:rPr>
                <w:rFonts w:ascii="Arial" w:hAnsi="Arial" w:cs="Arial"/>
                <w:sz w:val="17"/>
                <w:szCs w:val="17"/>
              </w:rPr>
              <w:t xml:space="preserve">962,954  </w:t>
            </w:r>
          </w:p>
        </w:tc>
        <w:tc>
          <w:tcPr>
            <w:tcW w:w="2180" w:type="dxa"/>
            <w:tcBorders>
              <w:top w:val="single" w:sz="4" w:space="0" w:color="auto"/>
              <w:left w:val="nil"/>
              <w:bottom w:val="single" w:sz="4" w:space="0" w:color="auto"/>
              <w:right w:val="single" w:sz="4" w:space="0" w:color="auto"/>
            </w:tcBorders>
            <w:shd w:val="clear" w:color="auto" w:fill="auto"/>
          </w:tcPr>
          <w:p w:rsidR="003E0EA9" w:rsidRPr="003E0EA9" w:rsidRDefault="003E0EA9" w:rsidP="003E0EA9">
            <w:pPr>
              <w:jc w:val="right"/>
              <w:rPr>
                <w:rFonts w:ascii="Arial" w:hAnsi="Arial" w:cs="Arial"/>
                <w:sz w:val="17"/>
                <w:szCs w:val="17"/>
              </w:rPr>
            </w:pPr>
            <w:r w:rsidRPr="003E0EA9">
              <w:rPr>
                <w:rFonts w:ascii="Arial" w:hAnsi="Arial" w:cs="Arial"/>
                <w:sz w:val="17"/>
                <w:szCs w:val="17"/>
              </w:rPr>
              <w:t xml:space="preserve">0 </w:t>
            </w:r>
          </w:p>
        </w:tc>
      </w:tr>
      <w:tr w:rsidR="003E0EA9" w:rsidRPr="002D70DA" w:rsidTr="003E0EA9">
        <w:trPr>
          <w:trHeight w:val="240"/>
          <w:jc w:val="center"/>
        </w:trPr>
        <w:tc>
          <w:tcPr>
            <w:tcW w:w="4900" w:type="dxa"/>
            <w:tcBorders>
              <w:top w:val="nil"/>
              <w:left w:val="nil"/>
              <w:bottom w:val="nil"/>
              <w:right w:val="single" w:sz="4" w:space="0" w:color="auto"/>
            </w:tcBorders>
            <w:shd w:val="clear" w:color="000000" w:fill="FFFFFF"/>
            <w:vAlign w:val="center"/>
            <w:hideMark/>
          </w:tcPr>
          <w:p w:rsidR="003E0EA9" w:rsidRPr="002D70DA" w:rsidRDefault="003E0EA9" w:rsidP="003E0EA9">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3E0EA9" w:rsidRPr="00DE1D8F" w:rsidRDefault="003E0EA9" w:rsidP="003E0EA9">
            <w:pPr>
              <w:jc w:val="right"/>
              <w:rPr>
                <w:rFonts w:ascii="Arial" w:hAnsi="Arial" w:cs="Arial"/>
                <w:b/>
                <w:sz w:val="17"/>
                <w:szCs w:val="17"/>
              </w:rPr>
            </w:pPr>
            <w:r w:rsidRPr="003E0EA9">
              <w:rPr>
                <w:rFonts w:ascii="Arial" w:hAnsi="Arial" w:cs="Arial"/>
                <w:b/>
                <w:sz w:val="17"/>
                <w:szCs w:val="17"/>
              </w:rPr>
              <w:t>4,599,261,631</w:t>
            </w:r>
          </w:p>
        </w:tc>
        <w:tc>
          <w:tcPr>
            <w:tcW w:w="2180" w:type="dxa"/>
            <w:tcBorders>
              <w:top w:val="nil"/>
              <w:left w:val="single" w:sz="4" w:space="0" w:color="auto"/>
              <w:bottom w:val="single" w:sz="4" w:space="0" w:color="auto"/>
              <w:right w:val="single" w:sz="4" w:space="0" w:color="auto"/>
            </w:tcBorders>
            <w:shd w:val="clear" w:color="000000" w:fill="FFFFFF"/>
          </w:tcPr>
          <w:p w:rsidR="003E0EA9" w:rsidRPr="003E0EA9" w:rsidRDefault="003E0EA9" w:rsidP="003E0EA9">
            <w:pPr>
              <w:jc w:val="right"/>
              <w:rPr>
                <w:rFonts w:ascii="Arial" w:hAnsi="Arial" w:cs="Arial"/>
                <w:b/>
                <w:sz w:val="17"/>
                <w:szCs w:val="17"/>
              </w:rPr>
            </w:pPr>
            <w:r w:rsidRPr="003E0EA9">
              <w:rPr>
                <w:rFonts w:ascii="Arial" w:hAnsi="Arial" w:cs="Arial"/>
                <w:b/>
                <w:sz w:val="17"/>
                <w:szCs w:val="17"/>
              </w:rPr>
              <w:t xml:space="preserve">5,211,435,224 </w:t>
            </w:r>
          </w:p>
        </w:tc>
      </w:tr>
    </w:tbl>
    <w:p w:rsidR="00F87E9E" w:rsidRDefault="00F87E9E">
      <w:pPr>
        <w:rPr>
          <w:rFonts w:ascii="Arial" w:eastAsia="Calibri" w:hAnsi="Arial" w:cs="Arial"/>
          <w:spacing w:val="-1"/>
          <w:sz w:val="17"/>
          <w:szCs w:val="17"/>
        </w:rPr>
      </w:pPr>
    </w:p>
    <w:p w:rsidR="003E3E0F" w:rsidRDefault="003E3E0F">
      <w:pPr>
        <w:rPr>
          <w:rFonts w:ascii="Arial" w:eastAsia="Calibri" w:hAnsi="Arial" w:cs="Arial"/>
          <w:spacing w:val="-1"/>
          <w:sz w:val="17"/>
          <w:szCs w:val="17"/>
        </w:rPr>
      </w:pPr>
      <w:r>
        <w:rPr>
          <w:rFonts w:ascii="Arial" w:eastAsia="Calibri" w:hAnsi="Arial" w:cs="Arial"/>
          <w:spacing w:val="-1"/>
          <w:sz w:val="17"/>
          <w:szCs w:val="17"/>
        </w:rPr>
        <w:br w:type="page"/>
      </w:r>
    </w:p>
    <w:p w:rsidR="005502D4" w:rsidRPr="002D70DA" w:rsidRDefault="005502D4" w:rsidP="005502D4">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lastRenderedPageBreak/>
        <w:t xml:space="preserve">De los rubros de </w:t>
      </w:r>
      <w:r w:rsidRPr="005502D4">
        <w:rPr>
          <w:rFonts w:ascii="Arial" w:eastAsia="Calibri" w:hAnsi="Arial" w:cs="Arial"/>
          <w:spacing w:val="-1"/>
          <w:sz w:val="17"/>
          <w:szCs w:val="17"/>
        </w:rPr>
        <w:t>Transferencias, Asignaciones, Subsidios y Otras ayudas</w:t>
      </w:r>
      <w:r>
        <w:rPr>
          <w:rFonts w:ascii="Arial" w:eastAsia="Calibri" w:hAnsi="Arial" w:cs="Arial"/>
          <w:spacing w:val="-1"/>
          <w:sz w:val="17"/>
          <w:szCs w:val="17"/>
        </w:rPr>
        <w:t xml:space="preserve"> </w:t>
      </w:r>
      <w:r w:rsidRPr="002D70DA">
        <w:rPr>
          <w:rFonts w:ascii="Arial" w:eastAsia="Calibri" w:hAnsi="Arial" w:cs="Arial"/>
          <w:spacing w:val="-1"/>
          <w:sz w:val="17"/>
          <w:szCs w:val="17"/>
        </w:rPr>
        <w:t xml:space="preserve">se informa </w:t>
      </w:r>
      <w:r w:rsidR="005571BF">
        <w:rPr>
          <w:rFonts w:ascii="Arial" w:eastAsia="Calibri" w:hAnsi="Arial" w:cs="Arial"/>
          <w:spacing w:val="-1"/>
          <w:sz w:val="17"/>
          <w:szCs w:val="17"/>
        </w:rPr>
        <w:t xml:space="preserve">que el saldo </w:t>
      </w:r>
      <w:r>
        <w:rPr>
          <w:rFonts w:ascii="Arial" w:eastAsia="Calibri" w:hAnsi="Arial" w:cs="Arial"/>
          <w:spacing w:val="-1"/>
          <w:sz w:val="17"/>
          <w:szCs w:val="17"/>
        </w:rPr>
        <w:t xml:space="preserve">al 31 de diciembre del </w:t>
      </w:r>
      <w:r w:rsidR="00FD7D84">
        <w:rPr>
          <w:rFonts w:ascii="Arial" w:eastAsia="Calibri" w:hAnsi="Arial" w:cs="Arial"/>
          <w:spacing w:val="-1"/>
          <w:sz w:val="17"/>
          <w:szCs w:val="17"/>
        </w:rPr>
        <w:t>2020</w:t>
      </w:r>
      <w:r w:rsidR="005571BF">
        <w:rPr>
          <w:rFonts w:ascii="Arial" w:eastAsia="Calibri" w:hAnsi="Arial" w:cs="Arial"/>
          <w:spacing w:val="-1"/>
          <w:sz w:val="17"/>
          <w:szCs w:val="17"/>
        </w:rPr>
        <w:t xml:space="preserve"> es</w:t>
      </w:r>
      <w:r w:rsidR="00F87E9E">
        <w:rPr>
          <w:rFonts w:ascii="Arial" w:eastAsia="Calibri" w:hAnsi="Arial" w:cs="Arial"/>
          <w:spacing w:val="-1"/>
          <w:sz w:val="17"/>
          <w:szCs w:val="17"/>
        </w:rPr>
        <w:t>:</w:t>
      </w:r>
    </w:p>
    <w:p w:rsidR="00F87E9E" w:rsidRDefault="00F87E9E" w:rsidP="00F87E9E">
      <w:pPr>
        <w:autoSpaceDE w:val="0"/>
        <w:autoSpaceDN w:val="0"/>
        <w:adjustRightInd w:val="0"/>
        <w:spacing w:before="240" w:after="120"/>
        <w:ind w:left="360"/>
        <w:jc w:val="center"/>
        <w:rPr>
          <w:rFonts w:ascii="Arial" w:eastAsia="Calibri" w:hAnsi="Arial" w:cs="Arial"/>
          <w:b/>
          <w:spacing w:val="-1"/>
          <w:sz w:val="17"/>
          <w:szCs w:val="17"/>
        </w:rPr>
      </w:pPr>
      <w:r w:rsidRPr="005540CE">
        <w:rPr>
          <w:rFonts w:ascii="Arial" w:eastAsia="Calibri" w:hAnsi="Arial" w:cs="Arial"/>
          <w:b/>
          <w:spacing w:val="-1"/>
          <w:sz w:val="17"/>
          <w:szCs w:val="17"/>
        </w:rPr>
        <w:t>(Pesos)</w:t>
      </w:r>
    </w:p>
    <w:tbl>
      <w:tblPr>
        <w:tblW w:w="8982" w:type="dxa"/>
        <w:jc w:val="center"/>
        <w:tblCellMar>
          <w:left w:w="70" w:type="dxa"/>
          <w:right w:w="70" w:type="dxa"/>
        </w:tblCellMar>
        <w:tblLook w:val="04A0" w:firstRow="1" w:lastRow="0" w:firstColumn="1" w:lastColumn="0" w:noHBand="0" w:noVBand="1"/>
      </w:tblPr>
      <w:tblGrid>
        <w:gridCol w:w="4743"/>
        <w:gridCol w:w="2091"/>
        <w:gridCol w:w="2148"/>
      </w:tblGrid>
      <w:tr w:rsidR="00F87E9E" w:rsidRPr="002D70DA" w:rsidTr="00FF0778">
        <w:trPr>
          <w:trHeight w:val="480"/>
          <w:jc w:val="center"/>
        </w:trPr>
        <w:tc>
          <w:tcPr>
            <w:tcW w:w="47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F87E9E" w:rsidRPr="002D70DA" w:rsidRDefault="00F87E9E" w:rsidP="00FE0D85">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1" w:type="dxa"/>
            <w:tcBorders>
              <w:top w:val="single" w:sz="4" w:space="0" w:color="auto"/>
              <w:left w:val="nil"/>
              <w:bottom w:val="single" w:sz="4" w:space="0" w:color="auto"/>
              <w:right w:val="single" w:sz="4" w:space="0" w:color="auto"/>
            </w:tcBorders>
            <w:shd w:val="clear" w:color="auto" w:fill="D5DCE4" w:themeFill="text2" w:themeFillTint="33"/>
            <w:vAlign w:val="center"/>
          </w:tcPr>
          <w:p w:rsidR="00F87E9E" w:rsidRPr="002D70DA" w:rsidRDefault="00FD7D84" w:rsidP="00FE0D85">
            <w:pPr>
              <w:jc w:val="center"/>
              <w:rPr>
                <w:rFonts w:ascii="Arial" w:hAnsi="Arial" w:cs="Arial"/>
                <w:b/>
                <w:bCs/>
                <w:color w:val="000000"/>
                <w:sz w:val="17"/>
                <w:szCs w:val="17"/>
              </w:rPr>
            </w:pPr>
            <w:r>
              <w:rPr>
                <w:rFonts w:ascii="Arial" w:hAnsi="Arial" w:cs="Arial"/>
                <w:b/>
                <w:bCs/>
                <w:color w:val="000000"/>
                <w:sz w:val="17"/>
                <w:szCs w:val="17"/>
              </w:rPr>
              <w:t>2020</w:t>
            </w:r>
          </w:p>
        </w:tc>
        <w:tc>
          <w:tcPr>
            <w:tcW w:w="214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F87E9E" w:rsidRPr="002D70DA" w:rsidRDefault="00FD7D84" w:rsidP="00FE0D85">
            <w:pPr>
              <w:jc w:val="center"/>
              <w:rPr>
                <w:rFonts w:ascii="Arial" w:hAnsi="Arial" w:cs="Arial"/>
                <w:b/>
                <w:bCs/>
                <w:color w:val="000000"/>
                <w:sz w:val="17"/>
                <w:szCs w:val="17"/>
              </w:rPr>
            </w:pPr>
            <w:r>
              <w:rPr>
                <w:rFonts w:ascii="Arial" w:hAnsi="Arial" w:cs="Arial"/>
                <w:b/>
                <w:bCs/>
                <w:color w:val="000000"/>
                <w:sz w:val="17"/>
                <w:szCs w:val="17"/>
              </w:rPr>
              <w:t>2019</w:t>
            </w:r>
          </w:p>
        </w:tc>
      </w:tr>
      <w:tr w:rsidR="00FF0778" w:rsidRPr="002D70DA" w:rsidTr="00FF0778">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FF0778" w:rsidRPr="00E2754C" w:rsidRDefault="00FF0778" w:rsidP="00FF0778">
            <w:pPr>
              <w:rPr>
                <w:rFonts w:ascii="Arial" w:hAnsi="Arial" w:cs="Arial"/>
                <w:sz w:val="17"/>
                <w:szCs w:val="17"/>
              </w:rPr>
            </w:pPr>
            <w:r w:rsidRPr="00E2754C">
              <w:rPr>
                <w:rFonts w:ascii="Arial" w:hAnsi="Arial" w:cs="Arial"/>
                <w:sz w:val="17"/>
                <w:szCs w:val="17"/>
              </w:rPr>
              <w:t>Participaciones</w:t>
            </w:r>
          </w:p>
        </w:tc>
        <w:tc>
          <w:tcPr>
            <w:tcW w:w="2091" w:type="dxa"/>
            <w:tcBorders>
              <w:top w:val="single" w:sz="4" w:space="0" w:color="auto"/>
              <w:left w:val="nil"/>
              <w:bottom w:val="single" w:sz="4" w:space="0" w:color="auto"/>
              <w:right w:val="single" w:sz="4" w:space="0" w:color="auto"/>
            </w:tcBorders>
            <w:shd w:val="clear" w:color="auto" w:fill="auto"/>
          </w:tcPr>
          <w:p w:rsidR="00FF0778" w:rsidRPr="00FF0778" w:rsidRDefault="00FF0778" w:rsidP="00FF0778">
            <w:pPr>
              <w:jc w:val="right"/>
              <w:rPr>
                <w:rFonts w:ascii="Arial" w:hAnsi="Arial" w:cs="Arial"/>
                <w:sz w:val="17"/>
                <w:szCs w:val="17"/>
              </w:rPr>
            </w:pPr>
            <w:r w:rsidRPr="00FF0778">
              <w:rPr>
                <w:rFonts w:ascii="Arial" w:hAnsi="Arial" w:cs="Arial"/>
                <w:sz w:val="17"/>
                <w:szCs w:val="17"/>
              </w:rPr>
              <w:t xml:space="preserve">15,272,957,067 </w:t>
            </w:r>
          </w:p>
        </w:tc>
        <w:tc>
          <w:tcPr>
            <w:tcW w:w="2148" w:type="dxa"/>
            <w:tcBorders>
              <w:top w:val="nil"/>
              <w:left w:val="single" w:sz="4" w:space="0" w:color="auto"/>
              <w:bottom w:val="single" w:sz="4" w:space="0" w:color="auto"/>
              <w:right w:val="single" w:sz="4" w:space="0" w:color="auto"/>
            </w:tcBorders>
            <w:shd w:val="clear" w:color="auto" w:fill="auto"/>
          </w:tcPr>
          <w:p w:rsidR="00FF0778" w:rsidRPr="00FF0778" w:rsidRDefault="00FF0778" w:rsidP="00FF0778">
            <w:pPr>
              <w:jc w:val="right"/>
              <w:rPr>
                <w:rFonts w:ascii="Arial" w:hAnsi="Arial" w:cs="Arial"/>
                <w:sz w:val="17"/>
                <w:szCs w:val="17"/>
              </w:rPr>
            </w:pPr>
            <w:r w:rsidRPr="00FF0778">
              <w:rPr>
                <w:rFonts w:ascii="Arial" w:hAnsi="Arial" w:cs="Arial"/>
                <w:sz w:val="17"/>
                <w:szCs w:val="17"/>
              </w:rPr>
              <w:t xml:space="preserve"> 14,809,056,392 </w:t>
            </w:r>
          </w:p>
        </w:tc>
      </w:tr>
      <w:tr w:rsidR="00FF0778" w:rsidRPr="002D70DA" w:rsidTr="00FF0778">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FF0778" w:rsidRPr="00E2754C" w:rsidRDefault="00FF0778" w:rsidP="00FF0778">
            <w:pPr>
              <w:rPr>
                <w:rFonts w:ascii="Arial" w:hAnsi="Arial" w:cs="Arial"/>
                <w:sz w:val="17"/>
                <w:szCs w:val="17"/>
              </w:rPr>
            </w:pPr>
            <w:r w:rsidRPr="00E2754C">
              <w:rPr>
                <w:rFonts w:ascii="Arial" w:hAnsi="Arial" w:cs="Arial"/>
                <w:sz w:val="17"/>
                <w:szCs w:val="17"/>
              </w:rPr>
              <w:t>Aportaciones</w:t>
            </w:r>
          </w:p>
        </w:tc>
        <w:tc>
          <w:tcPr>
            <w:tcW w:w="2091" w:type="dxa"/>
            <w:tcBorders>
              <w:top w:val="single" w:sz="4" w:space="0" w:color="auto"/>
              <w:left w:val="nil"/>
              <w:bottom w:val="single" w:sz="4" w:space="0" w:color="auto"/>
              <w:right w:val="single" w:sz="4" w:space="0" w:color="auto"/>
            </w:tcBorders>
            <w:shd w:val="clear" w:color="auto" w:fill="auto"/>
          </w:tcPr>
          <w:p w:rsidR="00FF0778" w:rsidRPr="00FF0778" w:rsidRDefault="00FF0778" w:rsidP="00FF0778">
            <w:pPr>
              <w:jc w:val="right"/>
              <w:rPr>
                <w:rFonts w:ascii="Arial" w:hAnsi="Arial" w:cs="Arial"/>
                <w:sz w:val="17"/>
                <w:szCs w:val="17"/>
              </w:rPr>
            </w:pPr>
            <w:r w:rsidRPr="00FF0778">
              <w:rPr>
                <w:rFonts w:ascii="Arial" w:hAnsi="Arial" w:cs="Arial"/>
                <w:sz w:val="17"/>
                <w:szCs w:val="17"/>
              </w:rPr>
              <w:t xml:space="preserve">12,643,507,565 </w:t>
            </w:r>
          </w:p>
        </w:tc>
        <w:tc>
          <w:tcPr>
            <w:tcW w:w="2148" w:type="dxa"/>
            <w:tcBorders>
              <w:top w:val="nil"/>
              <w:left w:val="single" w:sz="4" w:space="0" w:color="auto"/>
              <w:bottom w:val="single" w:sz="4" w:space="0" w:color="auto"/>
              <w:right w:val="single" w:sz="4" w:space="0" w:color="auto"/>
            </w:tcBorders>
            <w:shd w:val="clear" w:color="auto" w:fill="auto"/>
          </w:tcPr>
          <w:p w:rsidR="00FF0778" w:rsidRPr="00FF0778" w:rsidRDefault="00FF0778" w:rsidP="00FF0778">
            <w:pPr>
              <w:jc w:val="right"/>
              <w:rPr>
                <w:rFonts w:ascii="Arial" w:hAnsi="Arial" w:cs="Arial"/>
                <w:sz w:val="17"/>
                <w:szCs w:val="17"/>
              </w:rPr>
            </w:pPr>
            <w:r w:rsidRPr="00FF0778">
              <w:rPr>
                <w:rFonts w:ascii="Arial" w:hAnsi="Arial" w:cs="Arial"/>
                <w:sz w:val="17"/>
                <w:szCs w:val="17"/>
              </w:rPr>
              <w:t xml:space="preserve"> 12,123,461,775 </w:t>
            </w:r>
          </w:p>
        </w:tc>
      </w:tr>
      <w:tr w:rsidR="00FF0778" w:rsidRPr="002D70DA" w:rsidTr="00FF0778">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FF0778" w:rsidRPr="00E2754C" w:rsidRDefault="00FF0778" w:rsidP="00FF0778">
            <w:pPr>
              <w:rPr>
                <w:rFonts w:ascii="Arial" w:hAnsi="Arial" w:cs="Arial"/>
                <w:sz w:val="17"/>
                <w:szCs w:val="17"/>
              </w:rPr>
            </w:pPr>
            <w:r w:rsidRPr="00E2754C">
              <w:rPr>
                <w:rFonts w:ascii="Arial" w:hAnsi="Arial" w:cs="Arial"/>
                <w:sz w:val="17"/>
                <w:szCs w:val="17"/>
              </w:rPr>
              <w:t>Convenios</w:t>
            </w:r>
          </w:p>
        </w:tc>
        <w:tc>
          <w:tcPr>
            <w:tcW w:w="2091" w:type="dxa"/>
            <w:tcBorders>
              <w:top w:val="single" w:sz="4" w:space="0" w:color="auto"/>
              <w:left w:val="nil"/>
              <w:bottom w:val="single" w:sz="4" w:space="0" w:color="auto"/>
              <w:right w:val="single" w:sz="4" w:space="0" w:color="auto"/>
            </w:tcBorders>
            <w:shd w:val="clear" w:color="auto" w:fill="auto"/>
          </w:tcPr>
          <w:p w:rsidR="00FF0778" w:rsidRPr="00FF0778" w:rsidRDefault="00FF0778" w:rsidP="00FF0778">
            <w:pPr>
              <w:jc w:val="right"/>
              <w:rPr>
                <w:rFonts w:ascii="Arial" w:hAnsi="Arial" w:cs="Arial"/>
                <w:sz w:val="17"/>
                <w:szCs w:val="17"/>
              </w:rPr>
            </w:pPr>
            <w:r w:rsidRPr="00FF0778">
              <w:rPr>
                <w:rFonts w:ascii="Arial" w:hAnsi="Arial" w:cs="Arial"/>
                <w:sz w:val="17"/>
                <w:szCs w:val="17"/>
              </w:rPr>
              <w:t xml:space="preserve">3,474,327,501 </w:t>
            </w:r>
          </w:p>
        </w:tc>
        <w:tc>
          <w:tcPr>
            <w:tcW w:w="2148" w:type="dxa"/>
            <w:tcBorders>
              <w:top w:val="nil"/>
              <w:left w:val="single" w:sz="4" w:space="0" w:color="auto"/>
              <w:bottom w:val="single" w:sz="4" w:space="0" w:color="auto"/>
              <w:right w:val="single" w:sz="4" w:space="0" w:color="auto"/>
            </w:tcBorders>
            <w:shd w:val="clear" w:color="auto" w:fill="auto"/>
          </w:tcPr>
          <w:p w:rsidR="00FF0778" w:rsidRPr="00FF0778" w:rsidRDefault="00FF0778" w:rsidP="00FF0778">
            <w:pPr>
              <w:jc w:val="right"/>
              <w:rPr>
                <w:rFonts w:ascii="Arial" w:hAnsi="Arial" w:cs="Arial"/>
                <w:sz w:val="17"/>
                <w:szCs w:val="17"/>
              </w:rPr>
            </w:pPr>
            <w:r w:rsidRPr="00FF0778">
              <w:rPr>
                <w:rFonts w:ascii="Arial" w:hAnsi="Arial" w:cs="Arial"/>
                <w:sz w:val="17"/>
                <w:szCs w:val="17"/>
              </w:rPr>
              <w:t xml:space="preserve"> 4,096,103,252 </w:t>
            </w:r>
          </w:p>
        </w:tc>
      </w:tr>
      <w:tr w:rsidR="00FF0778" w:rsidRPr="002D70DA" w:rsidTr="00FF0778">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FF0778" w:rsidRPr="00E2754C" w:rsidRDefault="00FF0778" w:rsidP="00FF0778">
            <w:pPr>
              <w:rPr>
                <w:rFonts w:ascii="Arial" w:hAnsi="Arial" w:cs="Arial"/>
                <w:sz w:val="17"/>
                <w:szCs w:val="17"/>
              </w:rPr>
            </w:pPr>
            <w:r w:rsidRPr="00E2754C">
              <w:rPr>
                <w:rFonts w:ascii="Arial" w:hAnsi="Arial" w:cs="Arial"/>
                <w:sz w:val="17"/>
                <w:szCs w:val="17"/>
              </w:rPr>
              <w:t xml:space="preserve"> Incentivos Derivados de la Colaboración Fiscal</w:t>
            </w:r>
          </w:p>
        </w:tc>
        <w:tc>
          <w:tcPr>
            <w:tcW w:w="2091" w:type="dxa"/>
            <w:tcBorders>
              <w:top w:val="single" w:sz="4" w:space="0" w:color="auto"/>
              <w:left w:val="nil"/>
              <w:bottom w:val="single" w:sz="4" w:space="0" w:color="auto"/>
              <w:right w:val="single" w:sz="4" w:space="0" w:color="auto"/>
            </w:tcBorders>
            <w:shd w:val="clear" w:color="auto" w:fill="auto"/>
          </w:tcPr>
          <w:p w:rsidR="00FF0778" w:rsidRPr="00FF0778" w:rsidRDefault="00FF0778" w:rsidP="00FF0778">
            <w:pPr>
              <w:jc w:val="right"/>
              <w:rPr>
                <w:rFonts w:ascii="Arial" w:hAnsi="Arial" w:cs="Arial"/>
                <w:sz w:val="17"/>
                <w:szCs w:val="17"/>
              </w:rPr>
            </w:pPr>
            <w:r w:rsidRPr="00FF0778">
              <w:rPr>
                <w:rFonts w:ascii="Arial" w:hAnsi="Arial" w:cs="Arial"/>
                <w:sz w:val="17"/>
                <w:szCs w:val="17"/>
              </w:rPr>
              <w:t xml:space="preserve">1,738,650,911 </w:t>
            </w:r>
          </w:p>
        </w:tc>
        <w:tc>
          <w:tcPr>
            <w:tcW w:w="2148" w:type="dxa"/>
            <w:tcBorders>
              <w:top w:val="nil"/>
              <w:left w:val="single" w:sz="4" w:space="0" w:color="auto"/>
              <w:bottom w:val="single" w:sz="4" w:space="0" w:color="auto"/>
              <w:right w:val="single" w:sz="4" w:space="0" w:color="auto"/>
            </w:tcBorders>
            <w:shd w:val="clear" w:color="auto" w:fill="auto"/>
          </w:tcPr>
          <w:p w:rsidR="00FF0778" w:rsidRPr="00FF0778" w:rsidRDefault="00FF0778" w:rsidP="00FF0778">
            <w:pPr>
              <w:jc w:val="right"/>
              <w:rPr>
                <w:rFonts w:ascii="Arial" w:hAnsi="Arial" w:cs="Arial"/>
                <w:sz w:val="17"/>
                <w:szCs w:val="17"/>
              </w:rPr>
            </w:pPr>
            <w:r w:rsidRPr="00FF0778">
              <w:rPr>
                <w:rFonts w:ascii="Arial" w:hAnsi="Arial" w:cs="Arial"/>
                <w:sz w:val="17"/>
                <w:szCs w:val="17"/>
              </w:rPr>
              <w:t xml:space="preserve"> 1,600,368,960 </w:t>
            </w:r>
          </w:p>
        </w:tc>
      </w:tr>
      <w:tr w:rsidR="00FF0778" w:rsidRPr="002D70DA" w:rsidTr="00FF0778">
        <w:trPr>
          <w:trHeight w:val="240"/>
          <w:jc w:val="center"/>
        </w:trPr>
        <w:tc>
          <w:tcPr>
            <w:tcW w:w="4743" w:type="dxa"/>
            <w:tcBorders>
              <w:top w:val="single" w:sz="4" w:space="0" w:color="auto"/>
              <w:right w:val="single" w:sz="4" w:space="0" w:color="auto"/>
            </w:tcBorders>
            <w:shd w:val="clear" w:color="auto" w:fill="auto"/>
            <w:vAlign w:val="center"/>
          </w:tcPr>
          <w:p w:rsidR="00FF0778" w:rsidRPr="00F93CE5" w:rsidRDefault="00FF0778" w:rsidP="00FF0778">
            <w:pPr>
              <w:jc w:val="center"/>
              <w:rPr>
                <w:rFonts w:ascii="Arial" w:hAnsi="Arial" w:cs="Arial"/>
                <w:b/>
                <w:bCs/>
                <w:color w:val="000000"/>
                <w:sz w:val="17"/>
                <w:szCs w:val="17"/>
              </w:rPr>
            </w:pPr>
            <w:r w:rsidRPr="00F93CE5">
              <w:rPr>
                <w:rFonts w:ascii="Arial" w:hAnsi="Arial" w:cs="Arial"/>
                <w:b/>
                <w:bCs/>
                <w:color w:val="000000"/>
                <w:sz w:val="17"/>
                <w:szCs w:val="17"/>
              </w:rPr>
              <w:t>Total</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FF0778" w:rsidRPr="00E2754C" w:rsidRDefault="00FF0778" w:rsidP="00FF0778">
            <w:pPr>
              <w:jc w:val="right"/>
              <w:rPr>
                <w:rFonts w:ascii="Arial" w:hAnsi="Arial" w:cs="Arial"/>
                <w:b/>
                <w:sz w:val="17"/>
                <w:szCs w:val="17"/>
              </w:rPr>
            </w:pPr>
            <w:r w:rsidRPr="00FF0778">
              <w:rPr>
                <w:rFonts w:ascii="Arial" w:hAnsi="Arial" w:cs="Arial"/>
                <w:b/>
                <w:sz w:val="17"/>
                <w:szCs w:val="17"/>
              </w:rPr>
              <w:t>33,129,443,043</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FF0778" w:rsidRPr="00FF0778" w:rsidRDefault="00FF0778" w:rsidP="00FF0778">
            <w:pPr>
              <w:jc w:val="right"/>
              <w:rPr>
                <w:rFonts w:ascii="Arial" w:hAnsi="Arial" w:cs="Arial"/>
                <w:b/>
                <w:sz w:val="17"/>
                <w:szCs w:val="17"/>
              </w:rPr>
            </w:pPr>
            <w:r w:rsidRPr="00FF0778">
              <w:rPr>
                <w:rFonts w:ascii="Arial" w:hAnsi="Arial" w:cs="Arial"/>
                <w:b/>
                <w:sz w:val="17"/>
                <w:szCs w:val="17"/>
              </w:rPr>
              <w:t xml:space="preserve"> 32,628,990,379 </w:t>
            </w:r>
          </w:p>
        </w:tc>
      </w:tr>
    </w:tbl>
    <w:p w:rsidR="00F15CC6" w:rsidRDefault="00F15CC6" w:rsidP="00F87E9E">
      <w:pPr>
        <w:autoSpaceDE w:val="0"/>
        <w:autoSpaceDN w:val="0"/>
        <w:adjustRightInd w:val="0"/>
        <w:spacing w:before="240" w:after="120"/>
        <w:ind w:left="709"/>
        <w:rPr>
          <w:rFonts w:ascii="Arial" w:eastAsia="Calibri" w:hAnsi="Arial" w:cs="Arial"/>
          <w:spacing w:val="-1"/>
          <w:sz w:val="17"/>
          <w:szCs w:val="17"/>
        </w:rPr>
      </w:pPr>
    </w:p>
    <w:p w:rsidR="00F15CC6" w:rsidRDefault="00F15CC6">
      <w:pPr>
        <w:rPr>
          <w:rFonts w:ascii="Arial" w:eastAsia="Calibri" w:hAnsi="Arial" w:cs="Arial"/>
          <w:spacing w:val="-1"/>
          <w:sz w:val="17"/>
          <w:szCs w:val="17"/>
        </w:rPr>
      </w:pPr>
    </w:p>
    <w:p w:rsidR="00F87E9E" w:rsidRDefault="00F87E9E" w:rsidP="00F87E9E">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La cual está distribuido de la siguiente manera:</w:t>
      </w:r>
    </w:p>
    <w:p w:rsidR="00F87E9E" w:rsidRPr="002D70DA" w:rsidRDefault="00F87E9E" w:rsidP="00F87E9E">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4A6342" w:rsidRPr="002D70DA" w:rsidTr="004863A1">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A6342" w:rsidRPr="002D70DA" w:rsidRDefault="004A6342" w:rsidP="00F338A3">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4A6342"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4A6342" w:rsidRPr="002D70DA" w:rsidRDefault="00FD7D84" w:rsidP="00F338A3">
            <w:pPr>
              <w:jc w:val="center"/>
              <w:rPr>
                <w:rFonts w:ascii="Arial" w:hAnsi="Arial" w:cs="Arial"/>
                <w:b/>
                <w:bCs/>
                <w:color w:val="000000"/>
                <w:sz w:val="17"/>
                <w:szCs w:val="17"/>
              </w:rPr>
            </w:pPr>
            <w:r>
              <w:rPr>
                <w:rFonts w:ascii="Arial" w:hAnsi="Arial" w:cs="Arial"/>
                <w:b/>
                <w:bCs/>
                <w:color w:val="000000"/>
                <w:sz w:val="17"/>
                <w:szCs w:val="17"/>
              </w:rPr>
              <w:t>2019</w:t>
            </w:r>
          </w:p>
        </w:tc>
      </w:tr>
      <w:tr w:rsidR="004863A1" w:rsidRPr="002D70DA" w:rsidTr="004863A1">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863A1" w:rsidRPr="00C34218" w:rsidRDefault="004863A1" w:rsidP="004863A1">
            <w:pPr>
              <w:rPr>
                <w:rFonts w:ascii="Arial" w:hAnsi="Arial" w:cs="Arial"/>
                <w:b/>
                <w:sz w:val="17"/>
                <w:szCs w:val="17"/>
              </w:rPr>
            </w:pPr>
            <w:r w:rsidRPr="00C34218">
              <w:rPr>
                <w:rFonts w:ascii="Arial" w:hAnsi="Arial" w:cs="Arial"/>
                <w:b/>
                <w:sz w:val="17"/>
                <w:szCs w:val="17"/>
              </w:rPr>
              <w:t>Poder Ejecutivo</w:t>
            </w:r>
          </w:p>
        </w:tc>
        <w:tc>
          <w:tcPr>
            <w:tcW w:w="2180" w:type="dxa"/>
            <w:tcBorders>
              <w:top w:val="single" w:sz="4" w:space="0" w:color="auto"/>
              <w:left w:val="nil"/>
              <w:bottom w:val="single" w:sz="4" w:space="0" w:color="auto"/>
              <w:right w:val="single" w:sz="4" w:space="0" w:color="auto"/>
            </w:tcBorders>
            <w:shd w:val="clear" w:color="auto" w:fill="auto"/>
          </w:tcPr>
          <w:p w:rsidR="004863A1" w:rsidRPr="004863A1" w:rsidRDefault="004863A1" w:rsidP="004863A1">
            <w:pPr>
              <w:jc w:val="right"/>
              <w:rPr>
                <w:rFonts w:ascii="Arial" w:hAnsi="Arial" w:cs="Arial"/>
                <w:b/>
                <w:sz w:val="17"/>
                <w:szCs w:val="17"/>
              </w:rPr>
            </w:pPr>
            <w:r w:rsidRPr="004863A1">
              <w:rPr>
                <w:rFonts w:ascii="Arial" w:hAnsi="Arial" w:cs="Arial"/>
                <w:b/>
                <w:sz w:val="17"/>
                <w:szCs w:val="17"/>
              </w:rPr>
              <w:t>33,129,443,043</w:t>
            </w:r>
          </w:p>
        </w:tc>
        <w:tc>
          <w:tcPr>
            <w:tcW w:w="2180" w:type="dxa"/>
            <w:tcBorders>
              <w:top w:val="single" w:sz="4" w:space="0" w:color="auto"/>
              <w:left w:val="nil"/>
              <w:bottom w:val="single" w:sz="4" w:space="0" w:color="auto"/>
              <w:right w:val="single" w:sz="4" w:space="0" w:color="auto"/>
            </w:tcBorders>
            <w:shd w:val="clear" w:color="auto" w:fill="auto"/>
          </w:tcPr>
          <w:p w:rsidR="004863A1" w:rsidRPr="004863A1" w:rsidRDefault="004863A1" w:rsidP="004863A1">
            <w:pPr>
              <w:jc w:val="right"/>
              <w:rPr>
                <w:rFonts w:ascii="Arial" w:hAnsi="Arial" w:cs="Arial"/>
                <w:b/>
                <w:sz w:val="17"/>
                <w:szCs w:val="17"/>
              </w:rPr>
            </w:pPr>
            <w:r w:rsidRPr="004863A1">
              <w:rPr>
                <w:rFonts w:ascii="Arial" w:hAnsi="Arial" w:cs="Arial"/>
                <w:b/>
                <w:sz w:val="17"/>
                <w:szCs w:val="17"/>
              </w:rPr>
              <w:t xml:space="preserve">32,628,668,939 </w:t>
            </w:r>
          </w:p>
        </w:tc>
      </w:tr>
      <w:tr w:rsidR="004863A1" w:rsidRPr="002D70DA" w:rsidTr="004863A1">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863A1" w:rsidRPr="00C34218" w:rsidRDefault="004863A1" w:rsidP="004863A1">
            <w:pPr>
              <w:rPr>
                <w:rFonts w:ascii="Arial" w:hAnsi="Arial" w:cs="Arial"/>
                <w:b/>
                <w:sz w:val="17"/>
                <w:szCs w:val="17"/>
              </w:rPr>
            </w:pPr>
            <w:r w:rsidRPr="00E2754C">
              <w:rPr>
                <w:rFonts w:ascii="Arial" w:hAnsi="Arial" w:cs="Arial"/>
                <w:b/>
                <w:sz w:val="17"/>
                <w:szCs w:val="17"/>
              </w:rPr>
              <w:t>Poder Legislativo</w:t>
            </w:r>
          </w:p>
        </w:tc>
        <w:tc>
          <w:tcPr>
            <w:tcW w:w="2180" w:type="dxa"/>
            <w:tcBorders>
              <w:top w:val="single" w:sz="4" w:space="0" w:color="auto"/>
              <w:left w:val="nil"/>
              <w:bottom w:val="single" w:sz="4" w:space="0" w:color="auto"/>
              <w:right w:val="single" w:sz="4" w:space="0" w:color="auto"/>
            </w:tcBorders>
            <w:shd w:val="clear" w:color="auto" w:fill="auto"/>
          </w:tcPr>
          <w:p w:rsidR="004863A1" w:rsidRPr="00E2754C" w:rsidRDefault="004863A1" w:rsidP="004863A1">
            <w:pPr>
              <w:jc w:val="right"/>
              <w:rPr>
                <w:rFonts w:ascii="Arial" w:hAnsi="Arial" w:cs="Arial"/>
                <w:sz w:val="17"/>
                <w:szCs w:val="17"/>
              </w:rPr>
            </w:pPr>
            <w:r w:rsidRPr="00E2754C">
              <w:rPr>
                <w:rFonts w:ascii="Arial" w:hAnsi="Arial" w:cs="Arial"/>
                <w:sz w:val="17"/>
                <w:szCs w:val="17"/>
              </w:rPr>
              <w:t xml:space="preserve">0 </w:t>
            </w:r>
          </w:p>
        </w:tc>
        <w:tc>
          <w:tcPr>
            <w:tcW w:w="2180" w:type="dxa"/>
            <w:tcBorders>
              <w:top w:val="single" w:sz="4" w:space="0" w:color="auto"/>
              <w:left w:val="nil"/>
              <w:bottom w:val="single" w:sz="4" w:space="0" w:color="auto"/>
              <w:right w:val="single" w:sz="4" w:space="0" w:color="auto"/>
            </w:tcBorders>
            <w:shd w:val="clear" w:color="auto" w:fill="auto"/>
          </w:tcPr>
          <w:p w:rsidR="004863A1" w:rsidRPr="004863A1" w:rsidRDefault="004863A1" w:rsidP="004863A1">
            <w:pPr>
              <w:jc w:val="right"/>
              <w:rPr>
                <w:rFonts w:ascii="Arial" w:hAnsi="Arial" w:cs="Arial"/>
                <w:sz w:val="17"/>
                <w:szCs w:val="17"/>
              </w:rPr>
            </w:pPr>
            <w:r w:rsidRPr="004863A1">
              <w:rPr>
                <w:rFonts w:ascii="Arial" w:hAnsi="Arial" w:cs="Arial"/>
                <w:sz w:val="17"/>
                <w:szCs w:val="17"/>
              </w:rPr>
              <w:t xml:space="preserve">0 </w:t>
            </w:r>
          </w:p>
        </w:tc>
      </w:tr>
      <w:tr w:rsidR="004863A1" w:rsidRPr="002D70DA" w:rsidTr="004863A1">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863A1" w:rsidRPr="00C34218" w:rsidRDefault="004863A1" w:rsidP="004863A1">
            <w:pPr>
              <w:rPr>
                <w:rFonts w:ascii="Arial" w:hAnsi="Arial" w:cs="Arial"/>
                <w:b/>
                <w:sz w:val="17"/>
                <w:szCs w:val="17"/>
              </w:rPr>
            </w:pPr>
            <w:r w:rsidRPr="00C34218">
              <w:rPr>
                <w:rFonts w:ascii="Arial" w:hAnsi="Arial" w:cs="Arial"/>
                <w:b/>
                <w:sz w:val="17"/>
                <w:szCs w:val="17"/>
              </w:rPr>
              <w:t>Órganos Autónomos</w:t>
            </w:r>
          </w:p>
        </w:tc>
        <w:tc>
          <w:tcPr>
            <w:tcW w:w="2180" w:type="dxa"/>
            <w:tcBorders>
              <w:top w:val="single" w:sz="4" w:space="0" w:color="auto"/>
              <w:left w:val="nil"/>
              <w:bottom w:val="single" w:sz="4" w:space="0" w:color="auto"/>
              <w:right w:val="single" w:sz="4" w:space="0" w:color="auto"/>
            </w:tcBorders>
            <w:shd w:val="clear" w:color="auto" w:fill="auto"/>
          </w:tcPr>
          <w:p w:rsidR="004863A1" w:rsidRPr="00E2754C" w:rsidRDefault="004863A1" w:rsidP="004863A1">
            <w:pPr>
              <w:jc w:val="right"/>
              <w:rPr>
                <w:rFonts w:ascii="Arial" w:hAnsi="Arial" w:cs="Arial"/>
                <w:sz w:val="17"/>
                <w:szCs w:val="17"/>
              </w:rPr>
            </w:pPr>
            <w:r>
              <w:rPr>
                <w:rFonts w:ascii="Arial" w:hAnsi="Arial" w:cs="Arial"/>
                <w:sz w:val="17"/>
                <w:szCs w:val="17"/>
              </w:rPr>
              <w:t>0</w:t>
            </w:r>
          </w:p>
        </w:tc>
        <w:tc>
          <w:tcPr>
            <w:tcW w:w="2180" w:type="dxa"/>
            <w:tcBorders>
              <w:top w:val="single" w:sz="4" w:space="0" w:color="auto"/>
              <w:left w:val="nil"/>
              <w:bottom w:val="single" w:sz="4" w:space="0" w:color="auto"/>
              <w:right w:val="single" w:sz="4" w:space="0" w:color="auto"/>
            </w:tcBorders>
            <w:shd w:val="clear" w:color="auto" w:fill="auto"/>
          </w:tcPr>
          <w:p w:rsidR="004863A1" w:rsidRPr="004863A1" w:rsidRDefault="004863A1" w:rsidP="004863A1">
            <w:pPr>
              <w:jc w:val="right"/>
              <w:rPr>
                <w:rFonts w:ascii="Arial" w:hAnsi="Arial" w:cs="Arial"/>
                <w:b/>
                <w:sz w:val="17"/>
                <w:szCs w:val="17"/>
              </w:rPr>
            </w:pPr>
            <w:r w:rsidRPr="004863A1">
              <w:rPr>
                <w:rFonts w:ascii="Arial" w:hAnsi="Arial" w:cs="Arial"/>
                <w:b/>
                <w:sz w:val="17"/>
                <w:szCs w:val="17"/>
              </w:rPr>
              <w:t xml:space="preserve">321,440 </w:t>
            </w:r>
          </w:p>
        </w:tc>
      </w:tr>
      <w:tr w:rsidR="004863A1" w:rsidRPr="002D70DA" w:rsidTr="004863A1">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863A1" w:rsidRPr="00C34218" w:rsidRDefault="004863A1" w:rsidP="004863A1">
            <w:pPr>
              <w:ind w:left="497"/>
              <w:rPr>
                <w:rFonts w:ascii="Arial" w:hAnsi="Arial" w:cs="Arial"/>
                <w:sz w:val="17"/>
                <w:szCs w:val="17"/>
              </w:rPr>
            </w:pPr>
            <w:r w:rsidRPr="00C34218">
              <w:rPr>
                <w:rFonts w:ascii="Arial" w:hAnsi="Arial" w:cs="Arial"/>
                <w:sz w:val="17"/>
                <w:szCs w:val="17"/>
              </w:rPr>
              <w:t>Entidad Superior de Fiscalización del Estado de</w:t>
            </w:r>
          </w:p>
          <w:p w:rsidR="004863A1" w:rsidRPr="00C34218" w:rsidRDefault="004863A1" w:rsidP="004863A1">
            <w:pPr>
              <w:ind w:left="497"/>
              <w:rPr>
                <w:rFonts w:ascii="Arial" w:hAnsi="Arial" w:cs="Arial"/>
                <w:sz w:val="17"/>
                <w:szCs w:val="17"/>
              </w:rPr>
            </w:pPr>
            <w:r w:rsidRPr="00C34218">
              <w:rPr>
                <w:rFonts w:ascii="Arial" w:hAnsi="Arial" w:cs="Arial"/>
                <w:sz w:val="17"/>
                <w:szCs w:val="17"/>
              </w:rPr>
              <w:t>Querétaro</w:t>
            </w:r>
          </w:p>
        </w:tc>
        <w:tc>
          <w:tcPr>
            <w:tcW w:w="2180" w:type="dxa"/>
            <w:tcBorders>
              <w:top w:val="single" w:sz="4" w:space="0" w:color="auto"/>
              <w:left w:val="nil"/>
              <w:bottom w:val="single" w:sz="4" w:space="0" w:color="auto"/>
              <w:right w:val="single" w:sz="4" w:space="0" w:color="auto"/>
            </w:tcBorders>
            <w:shd w:val="clear" w:color="auto" w:fill="auto"/>
          </w:tcPr>
          <w:p w:rsidR="004863A1" w:rsidRPr="00E2754C" w:rsidRDefault="004863A1" w:rsidP="004863A1">
            <w:pPr>
              <w:jc w:val="right"/>
              <w:rPr>
                <w:rFonts w:ascii="Arial" w:hAnsi="Arial" w:cs="Arial"/>
                <w:sz w:val="17"/>
                <w:szCs w:val="17"/>
              </w:rPr>
            </w:pPr>
            <w:r>
              <w:rPr>
                <w:rFonts w:ascii="Arial" w:hAnsi="Arial" w:cs="Arial"/>
                <w:sz w:val="17"/>
                <w:szCs w:val="17"/>
              </w:rPr>
              <w:t>0</w:t>
            </w:r>
            <w:r w:rsidRPr="00E2754C">
              <w:rPr>
                <w:rFonts w:ascii="Arial" w:hAnsi="Arial" w:cs="Arial"/>
                <w:sz w:val="17"/>
                <w:szCs w:val="17"/>
              </w:rPr>
              <w:t xml:space="preserve"> </w:t>
            </w:r>
          </w:p>
        </w:tc>
        <w:tc>
          <w:tcPr>
            <w:tcW w:w="2180" w:type="dxa"/>
            <w:tcBorders>
              <w:top w:val="single" w:sz="4" w:space="0" w:color="auto"/>
              <w:left w:val="nil"/>
              <w:bottom w:val="single" w:sz="4" w:space="0" w:color="auto"/>
              <w:right w:val="single" w:sz="4" w:space="0" w:color="auto"/>
            </w:tcBorders>
            <w:shd w:val="clear" w:color="auto" w:fill="auto"/>
          </w:tcPr>
          <w:p w:rsidR="004863A1" w:rsidRPr="004863A1" w:rsidRDefault="004863A1" w:rsidP="004863A1">
            <w:pPr>
              <w:jc w:val="right"/>
              <w:rPr>
                <w:rFonts w:ascii="Arial" w:hAnsi="Arial" w:cs="Arial"/>
                <w:sz w:val="17"/>
                <w:szCs w:val="17"/>
              </w:rPr>
            </w:pPr>
            <w:r w:rsidRPr="004863A1">
              <w:rPr>
                <w:rFonts w:ascii="Arial" w:hAnsi="Arial" w:cs="Arial"/>
                <w:sz w:val="17"/>
                <w:szCs w:val="17"/>
              </w:rPr>
              <w:t xml:space="preserve">321,440 </w:t>
            </w:r>
          </w:p>
        </w:tc>
      </w:tr>
      <w:tr w:rsidR="004863A1" w:rsidRPr="002D70DA" w:rsidTr="004863A1">
        <w:trPr>
          <w:trHeight w:val="240"/>
          <w:jc w:val="center"/>
        </w:trPr>
        <w:tc>
          <w:tcPr>
            <w:tcW w:w="4900" w:type="dxa"/>
            <w:tcBorders>
              <w:top w:val="nil"/>
              <w:left w:val="nil"/>
              <w:bottom w:val="nil"/>
              <w:right w:val="single" w:sz="4" w:space="0" w:color="auto"/>
            </w:tcBorders>
            <w:shd w:val="clear" w:color="000000" w:fill="FFFFFF"/>
            <w:vAlign w:val="center"/>
            <w:hideMark/>
          </w:tcPr>
          <w:p w:rsidR="004863A1" w:rsidRPr="002D70DA" w:rsidRDefault="004863A1" w:rsidP="004863A1">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4863A1" w:rsidRPr="00E2754C" w:rsidRDefault="004863A1" w:rsidP="004863A1">
            <w:pPr>
              <w:jc w:val="right"/>
              <w:rPr>
                <w:rFonts w:ascii="Arial" w:hAnsi="Arial" w:cs="Arial"/>
                <w:b/>
                <w:sz w:val="17"/>
                <w:szCs w:val="17"/>
              </w:rPr>
            </w:pPr>
            <w:r w:rsidRPr="004863A1">
              <w:rPr>
                <w:rFonts w:ascii="Arial" w:hAnsi="Arial" w:cs="Arial"/>
                <w:b/>
                <w:sz w:val="17"/>
                <w:szCs w:val="17"/>
              </w:rPr>
              <w:t>33,129,443,043</w:t>
            </w:r>
          </w:p>
        </w:tc>
        <w:tc>
          <w:tcPr>
            <w:tcW w:w="2180" w:type="dxa"/>
            <w:tcBorders>
              <w:top w:val="nil"/>
              <w:left w:val="single" w:sz="4" w:space="0" w:color="auto"/>
              <w:bottom w:val="single" w:sz="4" w:space="0" w:color="auto"/>
              <w:right w:val="single" w:sz="4" w:space="0" w:color="auto"/>
            </w:tcBorders>
            <w:shd w:val="clear" w:color="000000" w:fill="FFFFFF"/>
          </w:tcPr>
          <w:p w:rsidR="004863A1" w:rsidRPr="004863A1" w:rsidRDefault="004863A1" w:rsidP="004863A1">
            <w:pPr>
              <w:jc w:val="right"/>
              <w:rPr>
                <w:rFonts w:ascii="Arial" w:hAnsi="Arial" w:cs="Arial"/>
                <w:b/>
                <w:sz w:val="17"/>
                <w:szCs w:val="17"/>
              </w:rPr>
            </w:pPr>
            <w:r w:rsidRPr="004863A1">
              <w:rPr>
                <w:rFonts w:ascii="Arial" w:hAnsi="Arial" w:cs="Arial"/>
                <w:b/>
                <w:sz w:val="17"/>
                <w:szCs w:val="17"/>
              </w:rPr>
              <w:t xml:space="preserve">32,628,990,379 </w:t>
            </w:r>
          </w:p>
        </w:tc>
      </w:tr>
    </w:tbl>
    <w:p w:rsidR="005571BF" w:rsidRDefault="005571BF">
      <w:pPr>
        <w:rPr>
          <w:rFonts w:ascii="Arial" w:eastAsia="Calibri" w:hAnsi="Arial" w:cs="Arial"/>
          <w:spacing w:val="-1"/>
          <w:sz w:val="17"/>
          <w:szCs w:val="17"/>
        </w:rPr>
      </w:pPr>
    </w:p>
    <w:p w:rsidR="003A0AB6" w:rsidRDefault="003A0AB6">
      <w:pPr>
        <w:rPr>
          <w:rFonts w:ascii="Arial" w:eastAsia="Calibri" w:hAnsi="Arial" w:cs="Arial"/>
          <w:b/>
          <w:spacing w:val="-1"/>
          <w:sz w:val="17"/>
          <w:szCs w:val="17"/>
        </w:rPr>
      </w:pPr>
    </w:p>
    <w:p w:rsidR="00FF58C8" w:rsidRDefault="00FF58C8">
      <w:pPr>
        <w:rPr>
          <w:rFonts w:ascii="Arial" w:eastAsia="Calibri" w:hAnsi="Arial" w:cs="Arial"/>
          <w:b/>
          <w:spacing w:val="-1"/>
          <w:sz w:val="17"/>
          <w:szCs w:val="17"/>
        </w:rPr>
      </w:pPr>
      <w:r>
        <w:rPr>
          <w:rFonts w:ascii="Arial" w:eastAsia="Calibri" w:hAnsi="Arial" w:cs="Arial"/>
          <w:b/>
          <w:spacing w:val="-1"/>
          <w:sz w:val="17"/>
          <w:szCs w:val="17"/>
        </w:rPr>
        <w:br w:type="page"/>
      </w:r>
    </w:p>
    <w:p w:rsidR="00577A8F" w:rsidRPr="00431A7F" w:rsidRDefault="00577A8F" w:rsidP="00795E45">
      <w:pPr>
        <w:pStyle w:val="Prrafodelista"/>
        <w:numPr>
          <w:ilvl w:val="0"/>
          <w:numId w:val="11"/>
        </w:numPr>
        <w:spacing w:before="80" w:line="250" w:lineRule="exact"/>
        <w:jc w:val="both"/>
        <w:rPr>
          <w:rFonts w:ascii="Arial" w:eastAsia="Calibri" w:hAnsi="Arial" w:cs="Arial"/>
          <w:b/>
          <w:spacing w:val="-1"/>
          <w:sz w:val="17"/>
          <w:szCs w:val="17"/>
        </w:rPr>
      </w:pPr>
      <w:r w:rsidRPr="00431A7F">
        <w:rPr>
          <w:rFonts w:ascii="Arial" w:eastAsia="Calibri" w:hAnsi="Arial" w:cs="Arial"/>
          <w:b/>
          <w:spacing w:val="-1"/>
          <w:sz w:val="17"/>
          <w:szCs w:val="17"/>
        </w:rPr>
        <w:lastRenderedPageBreak/>
        <w:t>Otros Ingresos y Beneficios</w:t>
      </w:r>
    </w:p>
    <w:p w:rsidR="00B4359F" w:rsidRDefault="00B4359F" w:rsidP="00B4359F">
      <w:pPr>
        <w:autoSpaceDE w:val="0"/>
        <w:autoSpaceDN w:val="0"/>
        <w:adjustRightInd w:val="0"/>
        <w:spacing w:before="240" w:after="120"/>
        <w:ind w:left="709"/>
        <w:rPr>
          <w:rFonts w:ascii="Arial" w:eastAsia="Calibri" w:hAnsi="Arial" w:cs="Arial"/>
          <w:spacing w:val="-1"/>
          <w:sz w:val="17"/>
          <w:szCs w:val="17"/>
        </w:rPr>
      </w:pPr>
      <w:r w:rsidRPr="00080796">
        <w:rPr>
          <w:rFonts w:ascii="Arial" w:eastAsia="Calibri" w:hAnsi="Arial" w:cs="Arial"/>
          <w:spacing w:val="-1"/>
          <w:sz w:val="17"/>
          <w:szCs w:val="17"/>
        </w:rPr>
        <w:t>Del</w:t>
      </w:r>
      <w:r>
        <w:rPr>
          <w:rFonts w:ascii="Arial" w:eastAsia="Calibri" w:hAnsi="Arial" w:cs="Arial"/>
          <w:spacing w:val="-1"/>
          <w:sz w:val="17"/>
          <w:szCs w:val="17"/>
        </w:rPr>
        <w:t xml:space="preserve"> </w:t>
      </w:r>
      <w:r w:rsidRPr="00080796">
        <w:rPr>
          <w:rFonts w:ascii="Arial" w:eastAsia="Calibri" w:hAnsi="Arial" w:cs="Arial"/>
          <w:spacing w:val="-1"/>
          <w:sz w:val="17"/>
          <w:szCs w:val="17"/>
        </w:rPr>
        <w:t xml:space="preserve">rubro de </w:t>
      </w:r>
      <w:r w:rsidR="007D4616">
        <w:rPr>
          <w:rFonts w:ascii="Arial" w:eastAsia="Calibri" w:hAnsi="Arial" w:cs="Arial"/>
          <w:spacing w:val="-1"/>
          <w:sz w:val="17"/>
          <w:szCs w:val="17"/>
        </w:rPr>
        <w:t>Ingresos Financieros</w:t>
      </w:r>
      <w:r w:rsidRPr="00080796">
        <w:rPr>
          <w:rFonts w:ascii="Arial" w:eastAsia="Calibri" w:hAnsi="Arial" w:cs="Arial"/>
          <w:spacing w:val="-1"/>
          <w:sz w:val="17"/>
          <w:szCs w:val="17"/>
        </w:rPr>
        <w:t xml:space="preserve"> se informa que el saldo al 31 de diciembre del </w:t>
      </w:r>
      <w:r w:rsidR="00FD7D84">
        <w:rPr>
          <w:rFonts w:ascii="Arial" w:eastAsia="Calibri" w:hAnsi="Arial" w:cs="Arial"/>
          <w:spacing w:val="-1"/>
          <w:sz w:val="17"/>
          <w:szCs w:val="17"/>
        </w:rPr>
        <w:t>2020</w:t>
      </w:r>
      <w:r w:rsidRPr="00080796">
        <w:rPr>
          <w:rFonts w:ascii="Arial" w:eastAsia="Calibri" w:hAnsi="Arial" w:cs="Arial"/>
          <w:spacing w:val="-1"/>
          <w:sz w:val="17"/>
          <w:szCs w:val="17"/>
        </w:rPr>
        <w:t xml:space="preserve"> es de</w:t>
      </w:r>
      <w:r>
        <w:rPr>
          <w:rFonts w:ascii="Arial" w:eastAsia="Calibri" w:hAnsi="Arial" w:cs="Arial"/>
          <w:spacing w:val="-1"/>
          <w:sz w:val="17"/>
          <w:szCs w:val="17"/>
        </w:rPr>
        <w:t>:</w:t>
      </w:r>
    </w:p>
    <w:p w:rsidR="00B4359F" w:rsidRDefault="00B4359F" w:rsidP="00B4359F">
      <w:pPr>
        <w:autoSpaceDE w:val="0"/>
        <w:autoSpaceDN w:val="0"/>
        <w:adjustRightInd w:val="0"/>
        <w:spacing w:before="240" w:after="120"/>
        <w:ind w:left="360"/>
        <w:jc w:val="center"/>
        <w:rPr>
          <w:rFonts w:ascii="Arial" w:eastAsia="Calibri" w:hAnsi="Arial" w:cs="Arial"/>
          <w:b/>
          <w:spacing w:val="-1"/>
          <w:sz w:val="17"/>
          <w:szCs w:val="17"/>
        </w:rPr>
      </w:pPr>
      <w:r w:rsidRPr="005540CE">
        <w:rPr>
          <w:rFonts w:ascii="Arial" w:eastAsia="Calibri" w:hAnsi="Arial" w:cs="Arial"/>
          <w:b/>
          <w:spacing w:val="-1"/>
          <w:sz w:val="17"/>
          <w:szCs w:val="17"/>
        </w:rPr>
        <w:t>(Pesos)</w:t>
      </w:r>
    </w:p>
    <w:tbl>
      <w:tblPr>
        <w:tblW w:w="8982" w:type="dxa"/>
        <w:jc w:val="center"/>
        <w:tblCellMar>
          <w:left w:w="70" w:type="dxa"/>
          <w:right w:w="70" w:type="dxa"/>
        </w:tblCellMar>
        <w:tblLook w:val="04A0" w:firstRow="1" w:lastRow="0" w:firstColumn="1" w:lastColumn="0" w:noHBand="0" w:noVBand="1"/>
      </w:tblPr>
      <w:tblGrid>
        <w:gridCol w:w="4743"/>
        <w:gridCol w:w="2091"/>
        <w:gridCol w:w="2148"/>
      </w:tblGrid>
      <w:tr w:rsidR="00B4359F" w:rsidRPr="002D70DA" w:rsidTr="00C33801">
        <w:trPr>
          <w:trHeight w:val="480"/>
          <w:jc w:val="center"/>
        </w:trPr>
        <w:tc>
          <w:tcPr>
            <w:tcW w:w="47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4359F" w:rsidRPr="002D70DA" w:rsidRDefault="00B4359F" w:rsidP="00FE0D85">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1" w:type="dxa"/>
            <w:tcBorders>
              <w:top w:val="single" w:sz="4" w:space="0" w:color="auto"/>
              <w:left w:val="nil"/>
              <w:bottom w:val="single" w:sz="4" w:space="0" w:color="auto"/>
              <w:right w:val="single" w:sz="4" w:space="0" w:color="auto"/>
            </w:tcBorders>
            <w:shd w:val="clear" w:color="auto" w:fill="D5DCE4" w:themeFill="text2" w:themeFillTint="33"/>
            <w:vAlign w:val="center"/>
          </w:tcPr>
          <w:p w:rsidR="00B4359F" w:rsidRPr="002D70DA" w:rsidRDefault="00FD7D84" w:rsidP="00FE0D85">
            <w:pPr>
              <w:jc w:val="center"/>
              <w:rPr>
                <w:rFonts w:ascii="Arial" w:hAnsi="Arial" w:cs="Arial"/>
                <w:b/>
                <w:bCs/>
                <w:color w:val="000000"/>
                <w:sz w:val="17"/>
                <w:szCs w:val="17"/>
              </w:rPr>
            </w:pPr>
            <w:r>
              <w:rPr>
                <w:rFonts w:ascii="Arial" w:hAnsi="Arial" w:cs="Arial"/>
                <w:b/>
                <w:bCs/>
                <w:color w:val="000000"/>
                <w:sz w:val="17"/>
                <w:szCs w:val="17"/>
              </w:rPr>
              <w:t>2020</w:t>
            </w:r>
          </w:p>
        </w:tc>
        <w:tc>
          <w:tcPr>
            <w:tcW w:w="214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4359F" w:rsidRPr="002D70DA" w:rsidRDefault="00FD7D84" w:rsidP="00FE0D85">
            <w:pPr>
              <w:jc w:val="center"/>
              <w:rPr>
                <w:rFonts w:ascii="Arial" w:hAnsi="Arial" w:cs="Arial"/>
                <w:b/>
                <w:bCs/>
                <w:color w:val="000000"/>
                <w:sz w:val="17"/>
                <w:szCs w:val="17"/>
              </w:rPr>
            </w:pPr>
            <w:r>
              <w:rPr>
                <w:rFonts w:ascii="Arial" w:hAnsi="Arial" w:cs="Arial"/>
                <w:b/>
                <w:bCs/>
                <w:color w:val="000000"/>
                <w:sz w:val="17"/>
                <w:szCs w:val="17"/>
              </w:rPr>
              <w:t>2019</w:t>
            </w:r>
          </w:p>
        </w:tc>
      </w:tr>
      <w:tr w:rsidR="00C33801" w:rsidRPr="002D70DA" w:rsidTr="00C33801">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C33801" w:rsidRPr="0055148B" w:rsidRDefault="00C33801" w:rsidP="00C33801">
            <w:pPr>
              <w:rPr>
                <w:rFonts w:ascii="Arial" w:hAnsi="Arial" w:cs="Arial"/>
                <w:sz w:val="17"/>
                <w:szCs w:val="17"/>
              </w:rPr>
            </w:pPr>
            <w:r w:rsidRPr="0055148B">
              <w:rPr>
                <w:rFonts w:ascii="Arial" w:hAnsi="Arial" w:cs="Arial"/>
                <w:sz w:val="17"/>
                <w:szCs w:val="17"/>
              </w:rPr>
              <w:t xml:space="preserve">Ingresos Financieros  </w:t>
            </w:r>
          </w:p>
        </w:tc>
        <w:tc>
          <w:tcPr>
            <w:tcW w:w="2091" w:type="dxa"/>
            <w:tcBorders>
              <w:top w:val="single" w:sz="4" w:space="0" w:color="auto"/>
              <w:left w:val="nil"/>
              <w:bottom w:val="single" w:sz="4" w:space="0" w:color="auto"/>
              <w:right w:val="single" w:sz="4" w:space="0" w:color="auto"/>
            </w:tcBorders>
            <w:shd w:val="clear" w:color="auto" w:fill="auto"/>
          </w:tcPr>
          <w:p w:rsidR="00C33801" w:rsidRPr="0055148B" w:rsidRDefault="00C33801" w:rsidP="00C33801">
            <w:pPr>
              <w:jc w:val="right"/>
              <w:rPr>
                <w:rFonts w:ascii="Arial" w:hAnsi="Arial" w:cs="Arial"/>
                <w:sz w:val="17"/>
                <w:szCs w:val="17"/>
              </w:rPr>
            </w:pPr>
            <w:r w:rsidRPr="00C33801">
              <w:rPr>
                <w:rFonts w:ascii="Arial" w:hAnsi="Arial" w:cs="Arial"/>
                <w:sz w:val="17"/>
                <w:szCs w:val="17"/>
              </w:rPr>
              <w:t>32,855,694</w:t>
            </w:r>
          </w:p>
        </w:tc>
        <w:tc>
          <w:tcPr>
            <w:tcW w:w="2148" w:type="dxa"/>
            <w:tcBorders>
              <w:top w:val="nil"/>
              <w:left w:val="single" w:sz="4" w:space="0" w:color="auto"/>
              <w:bottom w:val="single" w:sz="4" w:space="0" w:color="auto"/>
              <w:right w:val="single" w:sz="4" w:space="0" w:color="auto"/>
            </w:tcBorders>
            <w:shd w:val="clear" w:color="auto" w:fill="auto"/>
          </w:tcPr>
          <w:p w:rsidR="00C33801" w:rsidRPr="00C33801" w:rsidRDefault="00C33801" w:rsidP="00C33801">
            <w:pPr>
              <w:jc w:val="right"/>
              <w:rPr>
                <w:rFonts w:ascii="Arial" w:hAnsi="Arial" w:cs="Arial"/>
                <w:sz w:val="17"/>
                <w:szCs w:val="17"/>
              </w:rPr>
            </w:pPr>
            <w:r w:rsidRPr="00C33801">
              <w:rPr>
                <w:rFonts w:ascii="Arial" w:hAnsi="Arial" w:cs="Arial"/>
                <w:sz w:val="17"/>
                <w:szCs w:val="17"/>
              </w:rPr>
              <w:t>46,139,929</w:t>
            </w:r>
          </w:p>
        </w:tc>
      </w:tr>
      <w:tr w:rsidR="00C33801" w:rsidRPr="002D70DA" w:rsidTr="00C33801">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C33801" w:rsidRPr="0055148B" w:rsidRDefault="00C33801" w:rsidP="00C33801">
            <w:pPr>
              <w:rPr>
                <w:rFonts w:ascii="Arial" w:hAnsi="Arial" w:cs="Arial"/>
                <w:sz w:val="17"/>
                <w:szCs w:val="17"/>
              </w:rPr>
            </w:pPr>
            <w:r w:rsidRPr="0055148B">
              <w:rPr>
                <w:rFonts w:ascii="Arial" w:hAnsi="Arial" w:cs="Arial"/>
                <w:sz w:val="17"/>
                <w:szCs w:val="17"/>
              </w:rPr>
              <w:t>Otros Ingresos y Beneficios Varios</w:t>
            </w:r>
          </w:p>
        </w:tc>
        <w:tc>
          <w:tcPr>
            <w:tcW w:w="2091" w:type="dxa"/>
            <w:tcBorders>
              <w:top w:val="single" w:sz="4" w:space="0" w:color="auto"/>
              <w:left w:val="nil"/>
              <w:bottom w:val="single" w:sz="4" w:space="0" w:color="auto"/>
              <w:right w:val="single" w:sz="4" w:space="0" w:color="auto"/>
            </w:tcBorders>
            <w:shd w:val="clear" w:color="auto" w:fill="auto"/>
          </w:tcPr>
          <w:p w:rsidR="00C33801" w:rsidRPr="0055148B" w:rsidRDefault="00C33801" w:rsidP="00C33801">
            <w:pPr>
              <w:jc w:val="right"/>
              <w:rPr>
                <w:rFonts w:ascii="Arial" w:hAnsi="Arial" w:cs="Arial"/>
                <w:sz w:val="17"/>
                <w:szCs w:val="17"/>
              </w:rPr>
            </w:pPr>
            <w:r w:rsidRPr="00C33801">
              <w:rPr>
                <w:rFonts w:ascii="Arial" w:hAnsi="Arial" w:cs="Arial"/>
                <w:sz w:val="17"/>
                <w:szCs w:val="17"/>
              </w:rPr>
              <w:t>1,700,348,217</w:t>
            </w:r>
          </w:p>
        </w:tc>
        <w:tc>
          <w:tcPr>
            <w:tcW w:w="2148" w:type="dxa"/>
            <w:tcBorders>
              <w:top w:val="nil"/>
              <w:left w:val="single" w:sz="4" w:space="0" w:color="auto"/>
              <w:bottom w:val="single" w:sz="4" w:space="0" w:color="auto"/>
              <w:right w:val="single" w:sz="4" w:space="0" w:color="auto"/>
            </w:tcBorders>
            <w:shd w:val="clear" w:color="auto" w:fill="auto"/>
          </w:tcPr>
          <w:p w:rsidR="00C33801" w:rsidRPr="00C33801" w:rsidRDefault="00C33801" w:rsidP="00C33801">
            <w:pPr>
              <w:jc w:val="right"/>
              <w:rPr>
                <w:rFonts w:ascii="Arial" w:hAnsi="Arial" w:cs="Arial"/>
                <w:sz w:val="17"/>
                <w:szCs w:val="17"/>
              </w:rPr>
            </w:pPr>
            <w:r w:rsidRPr="00C33801">
              <w:rPr>
                <w:rFonts w:ascii="Arial" w:hAnsi="Arial" w:cs="Arial"/>
                <w:sz w:val="17"/>
                <w:szCs w:val="17"/>
              </w:rPr>
              <w:t>2,428,456,399</w:t>
            </w:r>
          </w:p>
        </w:tc>
      </w:tr>
      <w:tr w:rsidR="00C33801" w:rsidRPr="002D70DA" w:rsidTr="00C33801">
        <w:trPr>
          <w:trHeight w:val="240"/>
          <w:jc w:val="center"/>
        </w:trPr>
        <w:tc>
          <w:tcPr>
            <w:tcW w:w="4743" w:type="dxa"/>
            <w:tcBorders>
              <w:top w:val="single" w:sz="4" w:space="0" w:color="auto"/>
              <w:right w:val="single" w:sz="4" w:space="0" w:color="auto"/>
            </w:tcBorders>
            <w:shd w:val="clear" w:color="auto" w:fill="auto"/>
            <w:vAlign w:val="center"/>
          </w:tcPr>
          <w:p w:rsidR="00C33801" w:rsidRPr="00F93CE5" w:rsidRDefault="00C33801" w:rsidP="00C33801">
            <w:pPr>
              <w:jc w:val="center"/>
              <w:rPr>
                <w:rFonts w:ascii="Arial" w:hAnsi="Arial" w:cs="Arial"/>
                <w:b/>
                <w:bCs/>
                <w:color w:val="000000"/>
                <w:sz w:val="17"/>
                <w:szCs w:val="17"/>
              </w:rPr>
            </w:pPr>
            <w:r w:rsidRPr="00F93CE5">
              <w:rPr>
                <w:rFonts w:ascii="Arial" w:hAnsi="Arial" w:cs="Arial"/>
                <w:b/>
                <w:bCs/>
                <w:color w:val="000000"/>
                <w:sz w:val="17"/>
                <w:szCs w:val="17"/>
              </w:rPr>
              <w:t>Total</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C33801" w:rsidRPr="0055148B" w:rsidRDefault="00C33801" w:rsidP="00C33801">
            <w:pPr>
              <w:jc w:val="right"/>
              <w:rPr>
                <w:rFonts w:ascii="Arial" w:hAnsi="Arial" w:cs="Arial"/>
                <w:b/>
                <w:sz w:val="17"/>
                <w:szCs w:val="17"/>
              </w:rPr>
            </w:pPr>
            <w:r w:rsidRPr="00C33801">
              <w:rPr>
                <w:rFonts w:ascii="Arial" w:hAnsi="Arial" w:cs="Arial"/>
                <w:b/>
                <w:sz w:val="17"/>
                <w:szCs w:val="17"/>
              </w:rPr>
              <w:t>1,733,203,911</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C33801" w:rsidRPr="00C33801" w:rsidRDefault="00C33801" w:rsidP="00C33801">
            <w:pPr>
              <w:jc w:val="right"/>
              <w:rPr>
                <w:rFonts w:ascii="Arial" w:hAnsi="Arial" w:cs="Arial"/>
                <w:b/>
                <w:sz w:val="17"/>
                <w:szCs w:val="17"/>
              </w:rPr>
            </w:pPr>
            <w:r w:rsidRPr="00C33801">
              <w:rPr>
                <w:rFonts w:ascii="Arial" w:hAnsi="Arial" w:cs="Arial"/>
                <w:b/>
                <w:sz w:val="17"/>
                <w:szCs w:val="17"/>
              </w:rPr>
              <w:t>2,474,596,329</w:t>
            </w:r>
          </w:p>
        </w:tc>
      </w:tr>
    </w:tbl>
    <w:p w:rsidR="00B4359F" w:rsidRDefault="00B4359F" w:rsidP="00B4359F">
      <w:pPr>
        <w:autoSpaceDE w:val="0"/>
        <w:autoSpaceDN w:val="0"/>
        <w:adjustRightInd w:val="0"/>
        <w:spacing w:before="240" w:after="120"/>
        <w:ind w:left="709"/>
        <w:rPr>
          <w:rFonts w:ascii="Arial" w:eastAsia="Calibri" w:hAnsi="Arial" w:cs="Arial"/>
          <w:spacing w:val="-1"/>
          <w:sz w:val="17"/>
          <w:szCs w:val="17"/>
        </w:rPr>
      </w:pPr>
    </w:p>
    <w:p w:rsidR="00B4359F" w:rsidRDefault="00B4359F">
      <w:pPr>
        <w:rPr>
          <w:rFonts w:ascii="Arial" w:eastAsia="Calibri" w:hAnsi="Arial" w:cs="Arial"/>
          <w:spacing w:val="-1"/>
          <w:sz w:val="17"/>
          <w:szCs w:val="17"/>
        </w:rPr>
      </w:pPr>
    </w:p>
    <w:p w:rsidR="00B4359F" w:rsidRDefault="00B4359F" w:rsidP="00B4359F">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La cual está distribuido de la siguiente manera:</w:t>
      </w:r>
    </w:p>
    <w:p w:rsidR="00B4359F" w:rsidRPr="002D70DA" w:rsidRDefault="00B4359F" w:rsidP="00B4359F">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473C7B" w:rsidRPr="002D70DA" w:rsidTr="00C33801">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73C7B" w:rsidRPr="002D70DA" w:rsidRDefault="00473C7B" w:rsidP="009831D5">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473C7B" w:rsidRPr="002D70DA" w:rsidRDefault="00FD7D84" w:rsidP="009831D5">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473C7B" w:rsidRPr="002D70DA" w:rsidRDefault="00FD7D84" w:rsidP="009831D5">
            <w:pPr>
              <w:jc w:val="center"/>
              <w:rPr>
                <w:rFonts w:ascii="Arial" w:hAnsi="Arial" w:cs="Arial"/>
                <w:b/>
                <w:bCs/>
                <w:color w:val="000000"/>
                <w:sz w:val="17"/>
                <w:szCs w:val="17"/>
              </w:rPr>
            </w:pPr>
            <w:r>
              <w:rPr>
                <w:rFonts w:ascii="Arial" w:hAnsi="Arial" w:cs="Arial"/>
                <w:b/>
                <w:bCs/>
                <w:color w:val="000000"/>
                <w:sz w:val="17"/>
                <w:szCs w:val="17"/>
              </w:rPr>
              <w:t>2019</w:t>
            </w:r>
          </w:p>
        </w:tc>
      </w:tr>
      <w:tr w:rsidR="00C33801" w:rsidRPr="002D70DA" w:rsidTr="00C33801">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33801" w:rsidRPr="00C34218" w:rsidRDefault="00C33801" w:rsidP="00C33801">
            <w:pPr>
              <w:rPr>
                <w:rFonts w:ascii="Arial" w:hAnsi="Arial" w:cs="Arial"/>
                <w:b/>
                <w:sz w:val="17"/>
                <w:szCs w:val="17"/>
              </w:rPr>
            </w:pPr>
            <w:r w:rsidRPr="00C34218">
              <w:rPr>
                <w:rFonts w:ascii="Arial" w:hAnsi="Arial" w:cs="Arial"/>
                <w:b/>
                <w:sz w:val="17"/>
                <w:szCs w:val="17"/>
              </w:rPr>
              <w:t>Poder Ejecutivo</w:t>
            </w:r>
          </w:p>
        </w:tc>
        <w:tc>
          <w:tcPr>
            <w:tcW w:w="2180" w:type="dxa"/>
            <w:tcBorders>
              <w:top w:val="single" w:sz="4" w:space="0" w:color="auto"/>
              <w:left w:val="nil"/>
              <w:bottom w:val="single" w:sz="4" w:space="0" w:color="auto"/>
              <w:right w:val="single" w:sz="4" w:space="0" w:color="auto"/>
            </w:tcBorders>
            <w:shd w:val="clear" w:color="auto" w:fill="auto"/>
          </w:tcPr>
          <w:p w:rsidR="00C33801" w:rsidRPr="00C33801" w:rsidRDefault="00C33801" w:rsidP="00C33801">
            <w:pPr>
              <w:jc w:val="right"/>
              <w:rPr>
                <w:rFonts w:ascii="Arial" w:hAnsi="Arial" w:cs="Arial"/>
                <w:b/>
                <w:sz w:val="17"/>
                <w:szCs w:val="17"/>
              </w:rPr>
            </w:pPr>
            <w:r w:rsidRPr="00C33801">
              <w:rPr>
                <w:rFonts w:ascii="Arial" w:hAnsi="Arial" w:cs="Arial"/>
                <w:b/>
                <w:sz w:val="17"/>
                <w:szCs w:val="17"/>
              </w:rPr>
              <w:t xml:space="preserve">1,680,307,770 </w:t>
            </w:r>
          </w:p>
        </w:tc>
        <w:tc>
          <w:tcPr>
            <w:tcW w:w="2180" w:type="dxa"/>
            <w:tcBorders>
              <w:top w:val="single" w:sz="4" w:space="0" w:color="auto"/>
              <w:left w:val="nil"/>
              <w:bottom w:val="single" w:sz="4" w:space="0" w:color="auto"/>
              <w:right w:val="single" w:sz="4" w:space="0" w:color="auto"/>
            </w:tcBorders>
            <w:shd w:val="clear" w:color="auto" w:fill="auto"/>
          </w:tcPr>
          <w:p w:rsidR="00C33801" w:rsidRPr="00C33801" w:rsidRDefault="00C33801" w:rsidP="00C33801">
            <w:pPr>
              <w:jc w:val="right"/>
              <w:rPr>
                <w:rFonts w:ascii="Arial" w:hAnsi="Arial" w:cs="Arial"/>
                <w:b/>
                <w:sz w:val="17"/>
                <w:szCs w:val="17"/>
              </w:rPr>
            </w:pPr>
            <w:r w:rsidRPr="00C33801">
              <w:rPr>
                <w:rFonts w:ascii="Arial" w:hAnsi="Arial" w:cs="Arial"/>
                <w:b/>
                <w:sz w:val="17"/>
                <w:szCs w:val="17"/>
              </w:rPr>
              <w:t xml:space="preserve">2,397,201,718 </w:t>
            </w:r>
          </w:p>
        </w:tc>
      </w:tr>
      <w:tr w:rsidR="00C33801" w:rsidRPr="002D70DA" w:rsidTr="00C33801">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33801" w:rsidRPr="00C34218" w:rsidRDefault="00C33801" w:rsidP="00C33801">
            <w:pPr>
              <w:rPr>
                <w:rFonts w:ascii="Arial" w:hAnsi="Arial" w:cs="Arial"/>
                <w:b/>
                <w:sz w:val="17"/>
                <w:szCs w:val="17"/>
              </w:rPr>
            </w:pPr>
            <w:r w:rsidRPr="00C34218">
              <w:rPr>
                <w:rFonts w:ascii="Arial" w:hAnsi="Arial" w:cs="Arial"/>
                <w:b/>
                <w:sz w:val="17"/>
                <w:szCs w:val="17"/>
              </w:rPr>
              <w:t>Poder Judicial</w:t>
            </w:r>
          </w:p>
        </w:tc>
        <w:tc>
          <w:tcPr>
            <w:tcW w:w="2180" w:type="dxa"/>
            <w:tcBorders>
              <w:top w:val="single" w:sz="4" w:space="0" w:color="auto"/>
              <w:left w:val="nil"/>
              <w:bottom w:val="single" w:sz="4" w:space="0" w:color="auto"/>
              <w:right w:val="single" w:sz="4" w:space="0" w:color="auto"/>
            </w:tcBorders>
            <w:shd w:val="clear" w:color="auto" w:fill="auto"/>
          </w:tcPr>
          <w:p w:rsidR="00C33801" w:rsidRPr="00C33801" w:rsidRDefault="00C33801" w:rsidP="00C33801">
            <w:pPr>
              <w:jc w:val="right"/>
              <w:rPr>
                <w:rFonts w:ascii="Arial" w:hAnsi="Arial" w:cs="Arial"/>
                <w:b/>
                <w:sz w:val="17"/>
                <w:szCs w:val="17"/>
              </w:rPr>
            </w:pPr>
            <w:r w:rsidRPr="00C33801">
              <w:rPr>
                <w:rFonts w:ascii="Arial" w:hAnsi="Arial" w:cs="Arial"/>
                <w:b/>
                <w:sz w:val="17"/>
                <w:szCs w:val="17"/>
              </w:rPr>
              <w:t xml:space="preserve">43,079,991 </w:t>
            </w:r>
          </w:p>
        </w:tc>
        <w:tc>
          <w:tcPr>
            <w:tcW w:w="2180" w:type="dxa"/>
            <w:tcBorders>
              <w:top w:val="single" w:sz="4" w:space="0" w:color="auto"/>
              <w:left w:val="nil"/>
              <w:bottom w:val="single" w:sz="4" w:space="0" w:color="auto"/>
              <w:right w:val="single" w:sz="4" w:space="0" w:color="auto"/>
            </w:tcBorders>
            <w:shd w:val="clear" w:color="auto" w:fill="auto"/>
          </w:tcPr>
          <w:p w:rsidR="00C33801" w:rsidRPr="00C33801" w:rsidRDefault="00C33801" w:rsidP="00C33801">
            <w:pPr>
              <w:jc w:val="right"/>
              <w:rPr>
                <w:rFonts w:ascii="Arial" w:hAnsi="Arial" w:cs="Arial"/>
                <w:b/>
                <w:sz w:val="17"/>
                <w:szCs w:val="17"/>
              </w:rPr>
            </w:pPr>
            <w:r w:rsidRPr="00C33801">
              <w:rPr>
                <w:rFonts w:ascii="Arial" w:hAnsi="Arial" w:cs="Arial"/>
                <w:b/>
                <w:sz w:val="17"/>
                <w:szCs w:val="17"/>
              </w:rPr>
              <w:t xml:space="preserve">67,744,044 </w:t>
            </w:r>
          </w:p>
        </w:tc>
      </w:tr>
      <w:tr w:rsidR="00C33801" w:rsidRPr="002D70DA" w:rsidTr="00C33801">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33801" w:rsidRPr="00C34218" w:rsidRDefault="00C33801" w:rsidP="00C33801">
            <w:pPr>
              <w:rPr>
                <w:rFonts w:ascii="Arial" w:hAnsi="Arial" w:cs="Arial"/>
                <w:b/>
                <w:sz w:val="17"/>
                <w:szCs w:val="17"/>
              </w:rPr>
            </w:pPr>
            <w:r w:rsidRPr="00C34218">
              <w:rPr>
                <w:rFonts w:ascii="Arial" w:hAnsi="Arial" w:cs="Arial"/>
                <w:b/>
                <w:sz w:val="17"/>
                <w:szCs w:val="17"/>
              </w:rPr>
              <w:t>Poder Legislativo</w:t>
            </w:r>
          </w:p>
        </w:tc>
        <w:tc>
          <w:tcPr>
            <w:tcW w:w="2180" w:type="dxa"/>
            <w:tcBorders>
              <w:top w:val="single" w:sz="4" w:space="0" w:color="auto"/>
              <w:left w:val="nil"/>
              <w:bottom w:val="single" w:sz="4" w:space="0" w:color="auto"/>
              <w:right w:val="single" w:sz="4" w:space="0" w:color="auto"/>
            </w:tcBorders>
            <w:shd w:val="clear" w:color="auto" w:fill="auto"/>
          </w:tcPr>
          <w:p w:rsidR="00C33801" w:rsidRPr="00C33801" w:rsidRDefault="00C33801" w:rsidP="00C33801">
            <w:pPr>
              <w:jc w:val="right"/>
              <w:rPr>
                <w:rFonts w:ascii="Arial" w:hAnsi="Arial" w:cs="Arial"/>
                <w:b/>
                <w:sz w:val="17"/>
                <w:szCs w:val="17"/>
              </w:rPr>
            </w:pPr>
            <w:r w:rsidRPr="00C33801">
              <w:rPr>
                <w:rFonts w:ascii="Arial" w:hAnsi="Arial" w:cs="Arial"/>
                <w:b/>
                <w:sz w:val="17"/>
                <w:szCs w:val="17"/>
              </w:rPr>
              <w:t xml:space="preserve">70,900 </w:t>
            </w:r>
          </w:p>
        </w:tc>
        <w:tc>
          <w:tcPr>
            <w:tcW w:w="2180" w:type="dxa"/>
            <w:tcBorders>
              <w:top w:val="single" w:sz="4" w:space="0" w:color="auto"/>
              <w:left w:val="nil"/>
              <w:bottom w:val="single" w:sz="4" w:space="0" w:color="auto"/>
              <w:right w:val="single" w:sz="4" w:space="0" w:color="auto"/>
            </w:tcBorders>
            <w:shd w:val="clear" w:color="auto" w:fill="auto"/>
          </w:tcPr>
          <w:p w:rsidR="00C33801" w:rsidRPr="00C33801" w:rsidRDefault="00C33801" w:rsidP="00C33801">
            <w:pPr>
              <w:jc w:val="right"/>
              <w:rPr>
                <w:rFonts w:ascii="Arial" w:hAnsi="Arial" w:cs="Arial"/>
                <w:b/>
                <w:sz w:val="17"/>
                <w:szCs w:val="17"/>
              </w:rPr>
            </w:pPr>
            <w:r w:rsidRPr="00C33801">
              <w:rPr>
                <w:rFonts w:ascii="Arial" w:hAnsi="Arial" w:cs="Arial"/>
                <w:b/>
                <w:sz w:val="17"/>
                <w:szCs w:val="17"/>
              </w:rPr>
              <w:t xml:space="preserve">0 </w:t>
            </w:r>
          </w:p>
        </w:tc>
      </w:tr>
      <w:tr w:rsidR="00C33801" w:rsidRPr="002D70DA" w:rsidTr="00C33801">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33801" w:rsidRPr="00C34218" w:rsidRDefault="00C33801" w:rsidP="00C33801">
            <w:pPr>
              <w:rPr>
                <w:rFonts w:ascii="Arial" w:hAnsi="Arial" w:cs="Arial"/>
                <w:b/>
                <w:sz w:val="17"/>
                <w:szCs w:val="17"/>
              </w:rPr>
            </w:pPr>
            <w:r w:rsidRPr="00C34218">
              <w:rPr>
                <w:rFonts w:ascii="Arial" w:hAnsi="Arial" w:cs="Arial"/>
                <w:b/>
                <w:sz w:val="17"/>
                <w:szCs w:val="17"/>
              </w:rPr>
              <w:t>Órganos Autónomos</w:t>
            </w:r>
          </w:p>
        </w:tc>
        <w:tc>
          <w:tcPr>
            <w:tcW w:w="2180" w:type="dxa"/>
            <w:tcBorders>
              <w:top w:val="single" w:sz="4" w:space="0" w:color="auto"/>
              <w:left w:val="nil"/>
              <w:bottom w:val="single" w:sz="4" w:space="0" w:color="auto"/>
              <w:right w:val="single" w:sz="4" w:space="0" w:color="auto"/>
            </w:tcBorders>
            <w:shd w:val="clear" w:color="auto" w:fill="auto"/>
          </w:tcPr>
          <w:p w:rsidR="00C33801" w:rsidRPr="00C33801" w:rsidRDefault="00C33801" w:rsidP="00C33801">
            <w:pPr>
              <w:jc w:val="right"/>
              <w:rPr>
                <w:rFonts w:ascii="Arial" w:hAnsi="Arial" w:cs="Arial"/>
                <w:b/>
                <w:sz w:val="17"/>
                <w:szCs w:val="17"/>
              </w:rPr>
            </w:pPr>
            <w:r w:rsidRPr="00C33801">
              <w:rPr>
                <w:rFonts w:ascii="Arial" w:hAnsi="Arial" w:cs="Arial"/>
                <w:b/>
                <w:sz w:val="17"/>
                <w:szCs w:val="17"/>
              </w:rPr>
              <w:t xml:space="preserve">9,745,250 </w:t>
            </w:r>
          </w:p>
        </w:tc>
        <w:tc>
          <w:tcPr>
            <w:tcW w:w="2180" w:type="dxa"/>
            <w:tcBorders>
              <w:top w:val="single" w:sz="4" w:space="0" w:color="auto"/>
              <w:left w:val="nil"/>
              <w:bottom w:val="single" w:sz="4" w:space="0" w:color="auto"/>
              <w:right w:val="single" w:sz="4" w:space="0" w:color="auto"/>
            </w:tcBorders>
            <w:shd w:val="clear" w:color="auto" w:fill="auto"/>
          </w:tcPr>
          <w:p w:rsidR="00C33801" w:rsidRPr="00C33801" w:rsidRDefault="00C33801" w:rsidP="00C33801">
            <w:pPr>
              <w:jc w:val="right"/>
              <w:rPr>
                <w:rFonts w:ascii="Arial" w:hAnsi="Arial" w:cs="Arial"/>
                <w:b/>
                <w:sz w:val="17"/>
                <w:szCs w:val="17"/>
              </w:rPr>
            </w:pPr>
            <w:r w:rsidRPr="00C33801">
              <w:rPr>
                <w:rFonts w:ascii="Arial" w:hAnsi="Arial" w:cs="Arial"/>
                <w:b/>
                <w:sz w:val="17"/>
                <w:szCs w:val="17"/>
              </w:rPr>
              <w:t xml:space="preserve">9,650,567 </w:t>
            </w:r>
          </w:p>
        </w:tc>
      </w:tr>
      <w:tr w:rsidR="00C33801" w:rsidRPr="002D70DA" w:rsidTr="00C33801">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33801" w:rsidRPr="00C34218" w:rsidRDefault="00C33801" w:rsidP="00C33801">
            <w:pPr>
              <w:ind w:left="497"/>
              <w:rPr>
                <w:rFonts w:ascii="Arial" w:hAnsi="Arial" w:cs="Arial"/>
                <w:sz w:val="17"/>
                <w:szCs w:val="17"/>
              </w:rPr>
            </w:pPr>
            <w:r w:rsidRPr="00C34218">
              <w:rPr>
                <w:rFonts w:ascii="Arial" w:hAnsi="Arial" w:cs="Arial"/>
                <w:sz w:val="17"/>
                <w:szCs w:val="17"/>
              </w:rPr>
              <w:t>Comisión de Transparencia y Acceso a la</w:t>
            </w:r>
          </w:p>
          <w:p w:rsidR="00C33801" w:rsidRPr="00560A6D" w:rsidRDefault="00C33801" w:rsidP="00C33801">
            <w:pPr>
              <w:ind w:left="497"/>
              <w:rPr>
                <w:rFonts w:ascii="Arial" w:hAnsi="Arial" w:cs="Arial"/>
                <w:sz w:val="17"/>
                <w:szCs w:val="17"/>
              </w:rPr>
            </w:pPr>
            <w:r w:rsidRPr="00C34218">
              <w:rPr>
                <w:rFonts w:ascii="Arial" w:hAnsi="Arial" w:cs="Arial"/>
                <w:sz w:val="17"/>
                <w:szCs w:val="17"/>
              </w:rPr>
              <w:t>Información Pública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C33801" w:rsidRPr="00C33801" w:rsidRDefault="00C33801" w:rsidP="00C33801">
            <w:pPr>
              <w:jc w:val="right"/>
              <w:rPr>
                <w:rFonts w:ascii="Arial" w:hAnsi="Arial" w:cs="Arial"/>
                <w:sz w:val="17"/>
                <w:szCs w:val="17"/>
              </w:rPr>
            </w:pPr>
            <w:r w:rsidRPr="00C33801">
              <w:rPr>
                <w:rFonts w:ascii="Arial" w:hAnsi="Arial" w:cs="Arial"/>
                <w:sz w:val="17"/>
                <w:szCs w:val="17"/>
              </w:rPr>
              <w:t xml:space="preserve">25,522 </w:t>
            </w:r>
          </w:p>
        </w:tc>
        <w:tc>
          <w:tcPr>
            <w:tcW w:w="2180" w:type="dxa"/>
            <w:tcBorders>
              <w:top w:val="single" w:sz="4" w:space="0" w:color="auto"/>
              <w:left w:val="nil"/>
              <w:bottom w:val="single" w:sz="4" w:space="0" w:color="auto"/>
              <w:right w:val="single" w:sz="4" w:space="0" w:color="auto"/>
            </w:tcBorders>
            <w:shd w:val="clear" w:color="auto" w:fill="auto"/>
          </w:tcPr>
          <w:p w:rsidR="00C33801" w:rsidRPr="00C33801" w:rsidRDefault="00C33801" w:rsidP="00C33801">
            <w:pPr>
              <w:jc w:val="right"/>
              <w:rPr>
                <w:rFonts w:ascii="Arial" w:hAnsi="Arial" w:cs="Arial"/>
                <w:sz w:val="17"/>
                <w:szCs w:val="17"/>
              </w:rPr>
            </w:pPr>
            <w:r w:rsidRPr="00C33801">
              <w:rPr>
                <w:rFonts w:ascii="Arial" w:hAnsi="Arial" w:cs="Arial"/>
                <w:sz w:val="17"/>
                <w:szCs w:val="17"/>
              </w:rPr>
              <w:t xml:space="preserve">12,385 </w:t>
            </w:r>
          </w:p>
        </w:tc>
      </w:tr>
      <w:tr w:rsidR="00C33801" w:rsidRPr="002D70DA" w:rsidTr="00C33801">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33801" w:rsidRPr="00560A6D" w:rsidRDefault="00C33801" w:rsidP="00C33801">
            <w:pPr>
              <w:ind w:left="497"/>
              <w:rPr>
                <w:rFonts w:ascii="Arial" w:hAnsi="Arial" w:cs="Arial"/>
                <w:sz w:val="17"/>
                <w:szCs w:val="17"/>
              </w:rPr>
            </w:pPr>
            <w:r w:rsidRPr="00C34218">
              <w:rPr>
                <w:rFonts w:ascii="Arial" w:hAnsi="Arial" w:cs="Arial"/>
                <w:sz w:val="17"/>
                <w:szCs w:val="17"/>
              </w:rPr>
              <w:t>Defensoría de los Derechos Humanos de Querétaro</w:t>
            </w:r>
          </w:p>
        </w:tc>
        <w:tc>
          <w:tcPr>
            <w:tcW w:w="2180" w:type="dxa"/>
            <w:tcBorders>
              <w:top w:val="single" w:sz="4" w:space="0" w:color="auto"/>
              <w:left w:val="nil"/>
              <w:bottom w:val="single" w:sz="4" w:space="0" w:color="auto"/>
              <w:right w:val="single" w:sz="4" w:space="0" w:color="auto"/>
            </w:tcBorders>
            <w:shd w:val="clear" w:color="auto" w:fill="auto"/>
          </w:tcPr>
          <w:p w:rsidR="00C33801" w:rsidRPr="00C33801" w:rsidRDefault="00C33801" w:rsidP="00C33801">
            <w:pPr>
              <w:jc w:val="right"/>
              <w:rPr>
                <w:rFonts w:ascii="Arial" w:hAnsi="Arial" w:cs="Arial"/>
                <w:sz w:val="17"/>
                <w:szCs w:val="17"/>
              </w:rPr>
            </w:pPr>
            <w:r w:rsidRPr="00C33801">
              <w:rPr>
                <w:rFonts w:ascii="Arial" w:hAnsi="Arial" w:cs="Arial"/>
                <w:sz w:val="17"/>
                <w:szCs w:val="17"/>
              </w:rPr>
              <w:t xml:space="preserve">1,990 </w:t>
            </w:r>
          </w:p>
        </w:tc>
        <w:tc>
          <w:tcPr>
            <w:tcW w:w="2180" w:type="dxa"/>
            <w:tcBorders>
              <w:top w:val="single" w:sz="4" w:space="0" w:color="auto"/>
              <w:left w:val="nil"/>
              <w:bottom w:val="single" w:sz="4" w:space="0" w:color="auto"/>
              <w:right w:val="single" w:sz="4" w:space="0" w:color="auto"/>
            </w:tcBorders>
            <w:shd w:val="clear" w:color="auto" w:fill="auto"/>
          </w:tcPr>
          <w:p w:rsidR="00C33801" w:rsidRPr="00C33801" w:rsidRDefault="00C33801" w:rsidP="00C33801">
            <w:pPr>
              <w:jc w:val="right"/>
              <w:rPr>
                <w:rFonts w:ascii="Arial" w:hAnsi="Arial" w:cs="Arial"/>
                <w:sz w:val="17"/>
                <w:szCs w:val="17"/>
              </w:rPr>
            </w:pPr>
            <w:r w:rsidRPr="00C33801">
              <w:rPr>
                <w:rFonts w:ascii="Arial" w:hAnsi="Arial" w:cs="Arial"/>
                <w:sz w:val="17"/>
                <w:szCs w:val="17"/>
              </w:rPr>
              <w:t xml:space="preserve">28,630 </w:t>
            </w:r>
          </w:p>
        </w:tc>
      </w:tr>
      <w:tr w:rsidR="00C33801" w:rsidRPr="002D70DA" w:rsidTr="00C33801">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33801" w:rsidRPr="00C34218" w:rsidRDefault="00C33801" w:rsidP="00C33801">
            <w:pPr>
              <w:ind w:left="497"/>
              <w:rPr>
                <w:rFonts w:ascii="Arial" w:hAnsi="Arial" w:cs="Arial"/>
                <w:sz w:val="17"/>
                <w:szCs w:val="17"/>
              </w:rPr>
            </w:pPr>
            <w:r w:rsidRPr="00C34218">
              <w:rPr>
                <w:rFonts w:ascii="Arial" w:hAnsi="Arial" w:cs="Arial"/>
                <w:sz w:val="17"/>
                <w:szCs w:val="17"/>
              </w:rPr>
              <w:t>Entidad Superior de Fiscalización del Estado de</w:t>
            </w:r>
          </w:p>
          <w:p w:rsidR="00C33801" w:rsidRPr="00C34218" w:rsidRDefault="00C33801" w:rsidP="00C33801">
            <w:pPr>
              <w:ind w:left="497"/>
              <w:rPr>
                <w:rFonts w:ascii="Arial" w:hAnsi="Arial" w:cs="Arial"/>
                <w:sz w:val="17"/>
                <w:szCs w:val="17"/>
              </w:rPr>
            </w:pPr>
            <w:r w:rsidRPr="00C34218">
              <w:rPr>
                <w:rFonts w:ascii="Arial" w:hAnsi="Arial" w:cs="Arial"/>
                <w:sz w:val="17"/>
                <w:szCs w:val="17"/>
              </w:rPr>
              <w:t>Querétaro</w:t>
            </w:r>
          </w:p>
        </w:tc>
        <w:tc>
          <w:tcPr>
            <w:tcW w:w="2180" w:type="dxa"/>
            <w:tcBorders>
              <w:top w:val="single" w:sz="4" w:space="0" w:color="auto"/>
              <w:left w:val="nil"/>
              <w:bottom w:val="single" w:sz="4" w:space="0" w:color="auto"/>
              <w:right w:val="single" w:sz="4" w:space="0" w:color="auto"/>
            </w:tcBorders>
            <w:shd w:val="clear" w:color="auto" w:fill="auto"/>
          </w:tcPr>
          <w:p w:rsidR="00C33801" w:rsidRPr="00C33801" w:rsidRDefault="00C33801" w:rsidP="00C33801">
            <w:pPr>
              <w:jc w:val="right"/>
              <w:rPr>
                <w:rFonts w:ascii="Arial" w:hAnsi="Arial" w:cs="Arial"/>
                <w:sz w:val="17"/>
                <w:szCs w:val="17"/>
              </w:rPr>
            </w:pPr>
            <w:r w:rsidRPr="00C33801">
              <w:rPr>
                <w:rFonts w:ascii="Arial" w:hAnsi="Arial" w:cs="Arial"/>
                <w:sz w:val="17"/>
                <w:szCs w:val="17"/>
              </w:rPr>
              <w:t xml:space="preserve">414,868 </w:t>
            </w:r>
          </w:p>
        </w:tc>
        <w:tc>
          <w:tcPr>
            <w:tcW w:w="2180" w:type="dxa"/>
            <w:tcBorders>
              <w:top w:val="single" w:sz="4" w:space="0" w:color="auto"/>
              <w:left w:val="nil"/>
              <w:bottom w:val="single" w:sz="4" w:space="0" w:color="auto"/>
              <w:right w:val="single" w:sz="4" w:space="0" w:color="auto"/>
            </w:tcBorders>
            <w:shd w:val="clear" w:color="auto" w:fill="auto"/>
          </w:tcPr>
          <w:p w:rsidR="00C33801" w:rsidRPr="00C33801" w:rsidRDefault="00C33801" w:rsidP="00C33801">
            <w:pPr>
              <w:jc w:val="right"/>
              <w:rPr>
                <w:rFonts w:ascii="Arial" w:hAnsi="Arial" w:cs="Arial"/>
                <w:sz w:val="17"/>
                <w:szCs w:val="17"/>
              </w:rPr>
            </w:pPr>
            <w:r w:rsidRPr="00C33801">
              <w:rPr>
                <w:rFonts w:ascii="Arial" w:hAnsi="Arial" w:cs="Arial"/>
                <w:sz w:val="17"/>
                <w:szCs w:val="17"/>
              </w:rPr>
              <w:t xml:space="preserve">1,494,324 </w:t>
            </w:r>
          </w:p>
        </w:tc>
      </w:tr>
      <w:tr w:rsidR="00C33801" w:rsidRPr="002D70DA" w:rsidTr="00C33801">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33801" w:rsidRPr="00C34218" w:rsidRDefault="00C33801" w:rsidP="00C33801">
            <w:pPr>
              <w:ind w:left="497"/>
              <w:rPr>
                <w:rFonts w:ascii="Arial" w:hAnsi="Arial" w:cs="Arial"/>
                <w:sz w:val="17"/>
                <w:szCs w:val="17"/>
              </w:rPr>
            </w:pPr>
            <w:r w:rsidRPr="00C34218">
              <w:rPr>
                <w:rFonts w:ascii="Arial" w:hAnsi="Arial" w:cs="Arial"/>
                <w:sz w:val="17"/>
                <w:szCs w:val="17"/>
              </w:rPr>
              <w:t>Fiscalía General del Estado</w:t>
            </w:r>
          </w:p>
        </w:tc>
        <w:tc>
          <w:tcPr>
            <w:tcW w:w="2180" w:type="dxa"/>
            <w:tcBorders>
              <w:top w:val="single" w:sz="4" w:space="0" w:color="auto"/>
              <w:left w:val="nil"/>
              <w:bottom w:val="single" w:sz="4" w:space="0" w:color="auto"/>
              <w:right w:val="single" w:sz="4" w:space="0" w:color="auto"/>
            </w:tcBorders>
            <w:shd w:val="clear" w:color="auto" w:fill="auto"/>
          </w:tcPr>
          <w:p w:rsidR="00C33801" w:rsidRPr="00C33801" w:rsidRDefault="00C33801" w:rsidP="00C33801">
            <w:pPr>
              <w:jc w:val="right"/>
              <w:rPr>
                <w:rFonts w:ascii="Arial" w:hAnsi="Arial" w:cs="Arial"/>
                <w:sz w:val="17"/>
                <w:szCs w:val="17"/>
              </w:rPr>
            </w:pPr>
            <w:r w:rsidRPr="00C33801">
              <w:rPr>
                <w:rFonts w:ascii="Arial" w:hAnsi="Arial" w:cs="Arial"/>
                <w:sz w:val="17"/>
                <w:szCs w:val="17"/>
              </w:rPr>
              <w:t xml:space="preserve">8,776,473 </w:t>
            </w:r>
          </w:p>
        </w:tc>
        <w:tc>
          <w:tcPr>
            <w:tcW w:w="2180" w:type="dxa"/>
            <w:tcBorders>
              <w:top w:val="single" w:sz="4" w:space="0" w:color="auto"/>
              <w:left w:val="nil"/>
              <w:bottom w:val="single" w:sz="4" w:space="0" w:color="auto"/>
              <w:right w:val="single" w:sz="4" w:space="0" w:color="auto"/>
            </w:tcBorders>
            <w:shd w:val="clear" w:color="auto" w:fill="auto"/>
          </w:tcPr>
          <w:p w:rsidR="00C33801" w:rsidRPr="00C33801" w:rsidRDefault="00C33801" w:rsidP="00C33801">
            <w:pPr>
              <w:jc w:val="right"/>
              <w:rPr>
                <w:rFonts w:ascii="Arial" w:hAnsi="Arial" w:cs="Arial"/>
                <w:sz w:val="17"/>
                <w:szCs w:val="17"/>
              </w:rPr>
            </w:pPr>
            <w:r w:rsidRPr="00C33801">
              <w:rPr>
                <w:rFonts w:ascii="Arial" w:hAnsi="Arial" w:cs="Arial"/>
                <w:sz w:val="17"/>
                <w:szCs w:val="17"/>
              </w:rPr>
              <w:t xml:space="preserve">6,765,568 </w:t>
            </w:r>
          </w:p>
        </w:tc>
      </w:tr>
      <w:tr w:rsidR="00C33801" w:rsidRPr="002D70DA" w:rsidTr="00C33801">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33801" w:rsidRPr="00C34218" w:rsidRDefault="00C33801" w:rsidP="00C33801">
            <w:pPr>
              <w:ind w:left="497"/>
              <w:rPr>
                <w:rFonts w:ascii="Arial" w:hAnsi="Arial" w:cs="Arial"/>
                <w:sz w:val="17"/>
                <w:szCs w:val="17"/>
              </w:rPr>
            </w:pPr>
            <w:r w:rsidRPr="001163C1">
              <w:rPr>
                <w:rFonts w:ascii="Arial" w:hAnsi="Arial" w:cs="Arial"/>
                <w:sz w:val="17"/>
                <w:szCs w:val="17"/>
              </w:rPr>
              <w:t>Instituto Electoral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C33801" w:rsidRPr="00C33801" w:rsidRDefault="00C33801" w:rsidP="00C33801">
            <w:pPr>
              <w:jc w:val="right"/>
              <w:rPr>
                <w:rFonts w:ascii="Arial" w:hAnsi="Arial" w:cs="Arial"/>
                <w:sz w:val="17"/>
                <w:szCs w:val="17"/>
              </w:rPr>
            </w:pPr>
            <w:r w:rsidRPr="00C33801">
              <w:rPr>
                <w:rFonts w:ascii="Arial" w:hAnsi="Arial" w:cs="Arial"/>
                <w:sz w:val="17"/>
                <w:szCs w:val="17"/>
              </w:rPr>
              <w:t xml:space="preserve">526,397 </w:t>
            </w:r>
          </w:p>
        </w:tc>
        <w:tc>
          <w:tcPr>
            <w:tcW w:w="2180" w:type="dxa"/>
            <w:tcBorders>
              <w:top w:val="single" w:sz="4" w:space="0" w:color="auto"/>
              <w:left w:val="nil"/>
              <w:bottom w:val="single" w:sz="4" w:space="0" w:color="auto"/>
              <w:right w:val="single" w:sz="4" w:space="0" w:color="auto"/>
            </w:tcBorders>
            <w:shd w:val="clear" w:color="auto" w:fill="auto"/>
          </w:tcPr>
          <w:p w:rsidR="00C33801" w:rsidRPr="00C33801" w:rsidRDefault="00C33801" w:rsidP="00C33801">
            <w:pPr>
              <w:jc w:val="right"/>
              <w:rPr>
                <w:rFonts w:ascii="Arial" w:hAnsi="Arial" w:cs="Arial"/>
                <w:sz w:val="17"/>
                <w:szCs w:val="17"/>
              </w:rPr>
            </w:pPr>
            <w:r w:rsidRPr="00C33801">
              <w:rPr>
                <w:rFonts w:ascii="Arial" w:hAnsi="Arial" w:cs="Arial"/>
                <w:sz w:val="17"/>
                <w:szCs w:val="17"/>
              </w:rPr>
              <w:t xml:space="preserve">1,349,544 </w:t>
            </w:r>
          </w:p>
        </w:tc>
      </w:tr>
      <w:tr w:rsidR="00C33801" w:rsidRPr="002D70DA" w:rsidTr="00C33801">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33801" w:rsidRPr="00C34218" w:rsidRDefault="00C33801" w:rsidP="00C33801">
            <w:pPr>
              <w:ind w:left="497"/>
              <w:rPr>
                <w:rFonts w:ascii="Arial" w:hAnsi="Arial" w:cs="Arial"/>
                <w:sz w:val="17"/>
                <w:szCs w:val="17"/>
              </w:rPr>
            </w:pPr>
            <w:r w:rsidRPr="00C34218">
              <w:rPr>
                <w:rFonts w:ascii="Arial" w:hAnsi="Arial" w:cs="Arial"/>
                <w:sz w:val="17"/>
                <w:szCs w:val="17"/>
              </w:rPr>
              <w:t>Tribunal de Conciliación y Arbitraje</w:t>
            </w:r>
          </w:p>
        </w:tc>
        <w:tc>
          <w:tcPr>
            <w:tcW w:w="2180" w:type="dxa"/>
            <w:tcBorders>
              <w:top w:val="single" w:sz="4" w:space="0" w:color="auto"/>
              <w:left w:val="nil"/>
              <w:bottom w:val="single" w:sz="4" w:space="0" w:color="auto"/>
              <w:right w:val="single" w:sz="4" w:space="0" w:color="auto"/>
            </w:tcBorders>
            <w:shd w:val="clear" w:color="auto" w:fill="auto"/>
          </w:tcPr>
          <w:p w:rsidR="00C33801" w:rsidRPr="001163C1" w:rsidRDefault="00C33801" w:rsidP="00C33801">
            <w:pPr>
              <w:jc w:val="right"/>
              <w:rPr>
                <w:rFonts w:ascii="Arial" w:hAnsi="Arial" w:cs="Arial"/>
                <w:sz w:val="17"/>
                <w:szCs w:val="17"/>
              </w:rPr>
            </w:pPr>
            <w:r>
              <w:rPr>
                <w:rFonts w:ascii="Arial" w:hAnsi="Arial" w:cs="Arial"/>
                <w:sz w:val="17"/>
                <w:szCs w:val="17"/>
              </w:rPr>
              <w:t>0</w:t>
            </w:r>
          </w:p>
        </w:tc>
        <w:tc>
          <w:tcPr>
            <w:tcW w:w="2180" w:type="dxa"/>
            <w:tcBorders>
              <w:top w:val="single" w:sz="4" w:space="0" w:color="auto"/>
              <w:left w:val="nil"/>
              <w:bottom w:val="single" w:sz="4" w:space="0" w:color="auto"/>
              <w:right w:val="single" w:sz="4" w:space="0" w:color="auto"/>
            </w:tcBorders>
            <w:shd w:val="clear" w:color="auto" w:fill="auto"/>
          </w:tcPr>
          <w:p w:rsidR="00C33801" w:rsidRPr="00C33801" w:rsidRDefault="00C33801" w:rsidP="00C33801">
            <w:pPr>
              <w:jc w:val="right"/>
              <w:rPr>
                <w:rFonts w:ascii="Arial" w:hAnsi="Arial" w:cs="Arial"/>
                <w:sz w:val="17"/>
                <w:szCs w:val="17"/>
              </w:rPr>
            </w:pPr>
            <w:r w:rsidRPr="00C33801">
              <w:rPr>
                <w:rFonts w:ascii="Arial" w:hAnsi="Arial" w:cs="Arial"/>
                <w:sz w:val="17"/>
                <w:szCs w:val="17"/>
              </w:rPr>
              <w:t xml:space="preserve">115 </w:t>
            </w:r>
          </w:p>
        </w:tc>
      </w:tr>
      <w:tr w:rsidR="00C33801" w:rsidRPr="002D70DA" w:rsidTr="00C33801">
        <w:trPr>
          <w:trHeight w:val="240"/>
          <w:jc w:val="center"/>
        </w:trPr>
        <w:tc>
          <w:tcPr>
            <w:tcW w:w="4900" w:type="dxa"/>
            <w:tcBorders>
              <w:top w:val="nil"/>
              <w:left w:val="nil"/>
              <w:bottom w:val="nil"/>
              <w:right w:val="single" w:sz="4" w:space="0" w:color="auto"/>
            </w:tcBorders>
            <w:shd w:val="clear" w:color="000000" w:fill="FFFFFF"/>
            <w:vAlign w:val="center"/>
            <w:hideMark/>
          </w:tcPr>
          <w:p w:rsidR="00C33801" w:rsidRPr="002D70DA" w:rsidRDefault="00C33801" w:rsidP="00C33801">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C33801" w:rsidRPr="001163C1" w:rsidRDefault="00C33801" w:rsidP="00C33801">
            <w:pPr>
              <w:jc w:val="right"/>
              <w:rPr>
                <w:rFonts w:ascii="Arial" w:hAnsi="Arial" w:cs="Arial"/>
                <w:b/>
                <w:sz w:val="17"/>
                <w:szCs w:val="17"/>
              </w:rPr>
            </w:pPr>
            <w:r w:rsidRPr="00C33801">
              <w:rPr>
                <w:rFonts w:ascii="Arial" w:hAnsi="Arial" w:cs="Arial"/>
                <w:b/>
                <w:sz w:val="17"/>
                <w:szCs w:val="17"/>
              </w:rPr>
              <w:t>1,733,203,911</w:t>
            </w:r>
          </w:p>
        </w:tc>
        <w:tc>
          <w:tcPr>
            <w:tcW w:w="2180" w:type="dxa"/>
            <w:tcBorders>
              <w:top w:val="nil"/>
              <w:left w:val="single" w:sz="4" w:space="0" w:color="auto"/>
              <w:bottom w:val="single" w:sz="4" w:space="0" w:color="auto"/>
              <w:right w:val="single" w:sz="4" w:space="0" w:color="auto"/>
            </w:tcBorders>
            <w:shd w:val="clear" w:color="000000" w:fill="FFFFFF"/>
          </w:tcPr>
          <w:p w:rsidR="00C33801" w:rsidRPr="00C33801" w:rsidRDefault="00C33801" w:rsidP="00C33801">
            <w:pPr>
              <w:jc w:val="right"/>
              <w:rPr>
                <w:rFonts w:ascii="Arial" w:hAnsi="Arial" w:cs="Arial"/>
                <w:b/>
                <w:sz w:val="17"/>
                <w:szCs w:val="17"/>
              </w:rPr>
            </w:pPr>
            <w:r w:rsidRPr="00C33801">
              <w:rPr>
                <w:rFonts w:ascii="Arial" w:hAnsi="Arial" w:cs="Arial"/>
                <w:b/>
                <w:sz w:val="17"/>
                <w:szCs w:val="17"/>
              </w:rPr>
              <w:t xml:space="preserve">2,474,596,329 </w:t>
            </w:r>
          </w:p>
        </w:tc>
      </w:tr>
    </w:tbl>
    <w:p w:rsidR="00B4359F" w:rsidRDefault="00B4359F" w:rsidP="00B4359F">
      <w:pPr>
        <w:autoSpaceDE w:val="0"/>
        <w:autoSpaceDN w:val="0"/>
        <w:adjustRightInd w:val="0"/>
        <w:spacing w:before="240" w:after="120"/>
        <w:ind w:left="709"/>
        <w:rPr>
          <w:rFonts w:ascii="Arial" w:eastAsia="Calibri" w:hAnsi="Arial" w:cs="Arial"/>
          <w:spacing w:val="-1"/>
          <w:sz w:val="17"/>
          <w:szCs w:val="17"/>
        </w:rPr>
      </w:pPr>
    </w:p>
    <w:p w:rsidR="003A4D24" w:rsidRDefault="003A4D24">
      <w:pPr>
        <w:rPr>
          <w:rFonts w:ascii="Arial" w:hAnsi="Arial" w:cs="Arial"/>
          <w:b/>
          <w:sz w:val="17"/>
          <w:szCs w:val="17"/>
        </w:rPr>
      </w:pPr>
      <w:r>
        <w:rPr>
          <w:rFonts w:ascii="Arial" w:hAnsi="Arial" w:cs="Arial"/>
          <w:b/>
          <w:sz w:val="17"/>
          <w:szCs w:val="17"/>
        </w:rPr>
        <w:br w:type="page"/>
      </w:r>
    </w:p>
    <w:p w:rsidR="00EE16EB" w:rsidRPr="00A8264F" w:rsidRDefault="00EE16EB" w:rsidP="00795E45">
      <w:pPr>
        <w:pStyle w:val="Prrafodelista"/>
        <w:numPr>
          <w:ilvl w:val="0"/>
          <w:numId w:val="11"/>
        </w:numPr>
        <w:autoSpaceDE w:val="0"/>
        <w:autoSpaceDN w:val="0"/>
        <w:adjustRightInd w:val="0"/>
        <w:spacing w:before="240" w:after="120"/>
        <w:jc w:val="both"/>
        <w:rPr>
          <w:rFonts w:ascii="Arial" w:hAnsi="Arial" w:cs="Arial"/>
          <w:b/>
          <w:sz w:val="17"/>
          <w:szCs w:val="17"/>
        </w:rPr>
      </w:pPr>
      <w:r w:rsidRPr="00A8264F">
        <w:rPr>
          <w:rFonts w:ascii="Arial" w:hAnsi="Arial" w:cs="Arial"/>
          <w:b/>
          <w:sz w:val="17"/>
          <w:szCs w:val="17"/>
        </w:rPr>
        <w:lastRenderedPageBreak/>
        <w:t>Gastos y otras pérdidas</w:t>
      </w:r>
    </w:p>
    <w:p w:rsidR="0015343C" w:rsidRPr="002D70DA" w:rsidRDefault="0015343C" w:rsidP="0015343C">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Del</w:t>
      </w:r>
      <w:r w:rsidR="007C302E">
        <w:rPr>
          <w:rFonts w:ascii="Arial" w:eastAsia="Calibri" w:hAnsi="Arial" w:cs="Arial"/>
          <w:spacing w:val="-1"/>
          <w:sz w:val="17"/>
          <w:szCs w:val="17"/>
        </w:rPr>
        <w:t xml:space="preserve"> género de Gastos y otras pérdidas se informan los grupos </w:t>
      </w:r>
      <w:r w:rsidR="00E33439">
        <w:rPr>
          <w:rFonts w:ascii="Arial" w:eastAsia="Calibri" w:hAnsi="Arial" w:cs="Arial"/>
          <w:spacing w:val="-1"/>
          <w:sz w:val="17"/>
          <w:szCs w:val="17"/>
        </w:rPr>
        <w:t xml:space="preserve">de Gastos de Funcionamiento; </w:t>
      </w:r>
      <w:r w:rsidR="00E33439" w:rsidRPr="00E33439">
        <w:rPr>
          <w:rFonts w:ascii="Arial" w:eastAsia="Calibri" w:hAnsi="Arial" w:cs="Arial"/>
          <w:spacing w:val="-1"/>
          <w:sz w:val="17"/>
          <w:szCs w:val="17"/>
        </w:rPr>
        <w:t>Transferencias, Asignaciones, Subsidios y Otras Ayudas</w:t>
      </w:r>
      <w:r w:rsidR="00E33439">
        <w:rPr>
          <w:rFonts w:ascii="Arial" w:eastAsia="Calibri" w:hAnsi="Arial" w:cs="Arial"/>
          <w:spacing w:val="-1"/>
          <w:sz w:val="17"/>
          <w:szCs w:val="17"/>
        </w:rPr>
        <w:t xml:space="preserve">; </w:t>
      </w:r>
      <w:r w:rsidR="00E33439" w:rsidRPr="00E33439">
        <w:rPr>
          <w:rFonts w:ascii="Arial" w:eastAsia="Calibri" w:hAnsi="Arial" w:cs="Arial"/>
          <w:spacing w:val="-1"/>
          <w:sz w:val="17"/>
          <w:szCs w:val="17"/>
        </w:rPr>
        <w:t>Participaciones y Aportaciones</w:t>
      </w:r>
      <w:r w:rsidR="00E33439">
        <w:rPr>
          <w:rFonts w:ascii="Arial" w:eastAsia="Calibri" w:hAnsi="Arial" w:cs="Arial"/>
          <w:spacing w:val="-1"/>
          <w:sz w:val="17"/>
          <w:szCs w:val="17"/>
        </w:rPr>
        <w:t xml:space="preserve">; </w:t>
      </w:r>
      <w:r w:rsidR="00E33439" w:rsidRPr="00E33439">
        <w:rPr>
          <w:rFonts w:ascii="Arial" w:eastAsia="Calibri" w:hAnsi="Arial" w:cs="Arial"/>
          <w:spacing w:val="-1"/>
          <w:sz w:val="17"/>
          <w:szCs w:val="17"/>
        </w:rPr>
        <w:t>Intereses, Comisiones y Otros Gastos de la Deuda Pública</w:t>
      </w:r>
      <w:r w:rsidR="00E33439">
        <w:rPr>
          <w:rFonts w:ascii="Arial" w:eastAsia="Calibri" w:hAnsi="Arial" w:cs="Arial"/>
          <w:spacing w:val="-1"/>
          <w:sz w:val="17"/>
          <w:szCs w:val="17"/>
        </w:rPr>
        <w:t xml:space="preserve">; </w:t>
      </w:r>
      <w:r w:rsidR="00E33439" w:rsidRPr="00E33439">
        <w:rPr>
          <w:rFonts w:ascii="Arial" w:eastAsia="Calibri" w:hAnsi="Arial" w:cs="Arial"/>
          <w:spacing w:val="-1"/>
          <w:sz w:val="17"/>
          <w:szCs w:val="17"/>
        </w:rPr>
        <w:t>Otros Gastos y Pérdidas Extraordinarias</w:t>
      </w:r>
      <w:r w:rsidR="00E33439">
        <w:rPr>
          <w:rFonts w:ascii="Arial" w:eastAsia="Calibri" w:hAnsi="Arial" w:cs="Arial"/>
          <w:spacing w:val="-1"/>
          <w:sz w:val="17"/>
          <w:szCs w:val="17"/>
        </w:rPr>
        <w:t xml:space="preserve">; e </w:t>
      </w:r>
      <w:r w:rsidR="00E33439" w:rsidRPr="00E33439">
        <w:rPr>
          <w:rFonts w:ascii="Arial" w:eastAsia="Calibri" w:hAnsi="Arial" w:cs="Arial"/>
          <w:spacing w:val="-1"/>
          <w:sz w:val="17"/>
          <w:szCs w:val="17"/>
        </w:rPr>
        <w:t>Inversión Pública</w:t>
      </w:r>
      <w:r w:rsidRPr="002D70DA">
        <w:rPr>
          <w:rFonts w:ascii="Arial" w:eastAsia="Calibri" w:hAnsi="Arial" w:cs="Arial"/>
          <w:spacing w:val="-1"/>
          <w:sz w:val="17"/>
          <w:szCs w:val="17"/>
        </w:rPr>
        <w:t xml:space="preserve">, los montos totales </w:t>
      </w:r>
      <w:r>
        <w:rPr>
          <w:rFonts w:ascii="Arial" w:eastAsia="Calibri" w:hAnsi="Arial" w:cs="Arial"/>
          <w:spacing w:val="-1"/>
          <w:sz w:val="17"/>
          <w:szCs w:val="17"/>
        </w:rPr>
        <w:t xml:space="preserve">al 31 de diciembre del </w:t>
      </w:r>
      <w:r w:rsidR="00FD7D84">
        <w:rPr>
          <w:rFonts w:ascii="Arial" w:eastAsia="Calibri" w:hAnsi="Arial" w:cs="Arial"/>
          <w:spacing w:val="-1"/>
          <w:sz w:val="17"/>
          <w:szCs w:val="17"/>
        </w:rPr>
        <w:t>2020</w:t>
      </w:r>
      <w:r w:rsidRPr="002D70DA">
        <w:rPr>
          <w:rFonts w:ascii="Arial" w:eastAsia="Calibri" w:hAnsi="Arial" w:cs="Arial"/>
          <w:spacing w:val="-1"/>
          <w:sz w:val="17"/>
          <w:szCs w:val="17"/>
        </w:rPr>
        <w:t>:</w:t>
      </w:r>
    </w:p>
    <w:p w:rsidR="0015343C" w:rsidRPr="002D70DA" w:rsidRDefault="0015343C" w:rsidP="0015343C">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15343C" w:rsidRPr="002D70DA" w:rsidTr="00404FB9">
        <w:trPr>
          <w:trHeight w:val="48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5343C" w:rsidRPr="002D70DA" w:rsidRDefault="0015343C" w:rsidP="00603D16">
            <w:pPr>
              <w:jc w:val="center"/>
              <w:rPr>
                <w:rFonts w:ascii="Arial" w:hAnsi="Arial" w:cs="Arial"/>
                <w:b/>
                <w:bCs/>
                <w:color w:val="000000"/>
                <w:sz w:val="17"/>
                <w:szCs w:val="17"/>
              </w:rPr>
            </w:pPr>
            <w:r w:rsidRPr="002D70DA">
              <w:rPr>
                <w:rFonts w:ascii="Arial" w:hAnsi="Arial" w:cs="Arial"/>
                <w:b/>
                <w:bCs/>
                <w:color w:val="000000"/>
                <w:sz w:val="17"/>
                <w:szCs w:val="17"/>
              </w:rPr>
              <w:t>C</w:t>
            </w:r>
            <w:r>
              <w:rPr>
                <w:rFonts w:ascii="Arial" w:hAnsi="Arial" w:cs="Arial"/>
                <w:b/>
                <w:bCs/>
                <w:color w:val="000000"/>
                <w:sz w:val="17"/>
                <w:szCs w:val="17"/>
              </w:rPr>
              <w:t>uenta</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15343C" w:rsidRPr="002D70DA" w:rsidRDefault="00FD7D84" w:rsidP="00603D16">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15343C" w:rsidRPr="002D70DA" w:rsidRDefault="00FD7D84" w:rsidP="00603D16">
            <w:pPr>
              <w:jc w:val="center"/>
              <w:rPr>
                <w:rFonts w:ascii="Arial" w:hAnsi="Arial" w:cs="Arial"/>
                <w:b/>
                <w:bCs/>
                <w:color w:val="000000"/>
                <w:sz w:val="17"/>
                <w:szCs w:val="17"/>
              </w:rPr>
            </w:pPr>
            <w:r>
              <w:rPr>
                <w:rFonts w:ascii="Arial" w:hAnsi="Arial" w:cs="Arial"/>
                <w:b/>
                <w:bCs/>
                <w:color w:val="000000"/>
                <w:sz w:val="17"/>
                <w:szCs w:val="17"/>
              </w:rPr>
              <w:t>2019</w:t>
            </w:r>
          </w:p>
        </w:tc>
      </w:tr>
      <w:tr w:rsidR="00404FB9" w:rsidRPr="00882163" w:rsidTr="00404FB9">
        <w:trPr>
          <w:trHeight w:val="269"/>
          <w:jc w:val="center"/>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404FB9" w:rsidRPr="001E79D9" w:rsidRDefault="00404FB9" w:rsidP="00404FB9">
            <w:pPr>
              <w:rPr>
                <w:rFonts w:ascii="Arial" w:hAnsi="Arial" w:cs="Arial"/>
                <w:b/>
                <w:sz w:val="17"/>
                <w:szCs w:val="17"/>
              </w:rPr>
            </w:pPr>
            <w:r>
              <w:rPr>
                <w:rFonts w:ascii="Arial" w:hAnsi="Arial" w:cs="Arial"/>
                <w:b/>
                <w:sz w:val="17"/>
                <w:szCs w:val="17"/>
              </w:rPr>
              <w:t>Gastos de Funcionamiento</w:t>
            </w:r>
          </w:p>
        </w:tc>
        <w:tc>
          <w:tcPr>
            <w:tcW w:w="2180" w:type="dxa"/>
            <w:tcBorders>
              <w:top w:val="single" w:sz="4" w:space="0" w:color="auto"/>
              <w:left w:val="nil"/>
              <w:bottom w:val="single" w:sz="4" w:space="0" w:color="auto"/>
              <w:right w:val="single" w:sz="4" w:space="0" w:color="auto"/>
            </w:tcBorders>
            <w:shd w:val="clear" w:color="auto" w:fill="auto"/>
          </w:tcPr>
          <w:p w:rsidR="00404FB9" w:rsidRPr="00EE0340" w:rsidRDefault="00404FB9" w:rsidP="00404FB9">
            <w:pPr>
              <w:jc w:val="right"/>
              <w:rPr>
                <w:rFonts w:ascii="Arial" w:hAnsi="Arial" w:cs="Arial"/>
                <w:b/>
                <w:sz w:val="17"/>
                <w:szCs w:val="17"/>
              </w:rPr>
            </w:pPr>
            <w:r w:rsidRPr="00404FB9">
              <w:rPr>
                <w:rFonts w:ascii="Arial" w:hAnsi="Arial" w:cs="Arial"/>
                <w:b/>
                <w:sz w:val="17"/>
                <w:szCs w:val="17"/>
              </w:rPr>
              <w:t>5,881,114,503</w:t>
            </w:r>
          </w:p>
        </w:tc>
        <w:tc>
          <w:tcPr>
            <w:tcW w:w="2180" w:type="dxa"/>
            <w:tcBorders>
              <w:top w:val="single" w:sz="4" w:space="0" w:color="auto"/>
              <w:left w:val="nil"/>
              <w:bottom w:val="single" w:sz="4" w:space="0" w:color="auto"/>
              <w:right w:val="single" w:sz="4" w:space="0" w:color="auto"/>
            </w:tcBorders>
            <w:shd w:val="clear" w:color="auto" w:fill="auto"/>
          </w:tcPr>
          <w:p w:rsidR="00404FB9" w:rsidRPr="00404FB9" w:rsidRDefault="00404FB9" w:rsidP="00404FB9">
            <w:pPr>
              <w:jc w:val="right"/>
              <w:rPr>
                <w:rFonts w:ascii="Arial" w:hAnsi="Arial" w:cs="Arial"/>
                <w:b/>
                <w:sz w:val="17"/>
                <w:szCs w:val="17"/>
              </w:rPr>
            </w:pPr>
            <w:r w:rsidRPr="00404FB9">
              <w:rPr>
                <w:rFonts w:ascii="Arial" w:hAnsi="Arial" w:cs="Arial"/>
                <w:b/>
                <w:sz w:val="17"/>
                <w:szCs w:val="17"/>
              </w:rPr>
              <w:t>5,709,907,451</w:t>
            </w:r>
          </w:p>
        </w:tc>
      </w:tr>
      <w:tr w:rsidR="00404FB9" w:rsidTr="00404FB9">
        <w:trPr>
          <w:trHeight w:val="243"/>
          <w:jc w:val="center"/>
        </w:trPr>
        <w:tc>
          <w:tcPr>
            <w:tcW w:w="4900" w:type="dxa"/>
            <w:tcBorders>
              <w:top w:val="nil"/>
              <w:left w:val="single" w:sz="4" w:space="0" w:color="auto"/>
              <w:bottom w:val="single" w:sz="4" w:space="0" w:color="auto"/>
              <w:right w:val="single" w:sz="4" w:space="0" w:color="auto"/>
            </w:tcBorders>
            <w:shd w:val="clear" w:color="auto" w:fill="auto"/>
          </w:tcPr>
          <w:p w:rsidR="00404FB9" w:rsidRPr="0015343C" w:rsidRDefault="00404FB9" w:rsidP="00404FB9">
            <w:pPr>
              <w:ind w:left="634"/>
              <w:rPr>
                <w:rFonts w:ascii="Arial" w:hAnsi="Arial" w:cs="Arial"/>
                <w:sz w:val="17"/>
                <w:szCs w:val="17"/>
              </w:rPr>
            </w:pPr>
            <w:r w:rsidRPr="0015343C">
              <w:rPr>
                <w:rFonts w:ascii="Arial" w:hAnsi="Arial" w:cs="Arial"/>
                <w:sz w:val="17"/>
                <w:szCs w:val="17"/>
              </w:rPr>
              <w:t>Servicios Personales</w:t>
            </w:r>
          </w:p>
        </w:tc>
        <w:tc>
          <w:tcPr>
            <w:tcW w:w="2180" w:type="dxa"/>
            <w:tcBorders>
              <w:top w:val="nil"/>
              <w:left w:val="nil"/>
              <w:bottom w:val="single" w:sz="4" w:space="0" w:color="auto"/>
              <w:right w:val="single" w:sz="4" w:space="0" w:color="auto"/>
            </w:tcBorders>
            <w:shd w:val="clear" w:color="auto" w:fill="auto"/>
          </w:tcPr>
          <w:p w:rsidR="00404FB9" w:rsidRPr="00404FB9" w:rsidRDefault="00404FB9" w:rsidP="00404FB9">
            <w:pPr>
              <w:jc w:val="right"/>
              <w:rPr>
                <w:rFonts w:ascii="Arial" w:hAnsi="Arial" w:cs="Arial"/>
                <w:sz w:val="17"/>
                <w:szCs w:val="17"/>
              </w:rPr>
            </w:pPr>
            <w:r w:rsidRPr="00404FB9">
              <w:rPr>
                <w:rFonts w:ascii="Arial" w:hAnsi="Arial" w:cs="Arial"/>
                <w:sz w:val="17"/>
                <w:szCs w:val="17"/>
              </w:rPr>
              <w:t xml:space="preserve">4,194,194,629 </w:t>
            </w:r>
          </w:p>
        </w:tc>
        <w:tc>
          <w:tcPr>
            <w:tcW w:w="2180" w:type="dxa"/>
            <w:tcBorders>
              <w:top w:val="nil"/>
              <w:left w:val="nil"/>
              <w:bottom w:val="single" w:sz="4" w:space="0" w:color="auto"/>
              <w:right w:val="single" w:sz="4" w:space="0" w:color="auto"/>
            </w:tcBorders>
            <w:shd w:val="clear" w:color="auto" w:fill="auto"/>
          </w:tcPr>
          <w:p w:rsidR="00404FB9" w:rsidRPr="00404FB9" w:rsidRDefault="00404FB9" w:rsidP="00404FB9">
            <w:pPr>
              <w:jc w:val="right"/>
              <w:rPr>
                <w:rFonts w:ascii="Arial" w:hAnsi="Arial" w:cs="Arial"/>
                <w:sz w:val="17"/>
                <w:szCs w:val="17"/>
              </w:rPr>
            </w:pPr>
            <w:r w:rsidRPr="00404FB9">
              <w:rPr>
                <w:rFonts w:ascii="Arial" w:hAnsi="Arial" w:cs="Arial"/>
                <w:sz w:val="17"/>
                <w:szCs w:val="17"/>
              </w:rPr>
              <w:t>3,899,728,847</w:t>
            </w:r>
          </w:p>
        </w:tc>
      </w:tr>
      <w:tr w:rsidR="00404FB9" w:rsidTr="00404FB9">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404FB9" w:rsidRPr="0015343C" w:rsidRDefault="00404FB9" w:rsidP="00404FB9">
            <w:pPr>
              <w:ind w:left="634"/>
              <w:rPr>
                <w:rFonts w:ascii="Arial" w:hAnsi="Arial" w:cs="Arial"/>
                <w:sz w:val="17"/>
                <w:szCs w:val="17"/>
              </w:rPr>
            </w:pPr>
            <w:r w:rsidRPr="0015343C">
              <w:rPr>
                <w:rFonts w:ascii="Arial" w:hAnsi="Arial" w:cs="Arial"/>
                <w:sz w:val="17"/>
                <w:szCs w:val="17"/>
              </w:rPr>
              <w:t>Materiales y Suministros</w:t>
            </w:r>
          </w:p>
        </w:tc>
        <w:tc>
          <w:tcPr>
            <w:tcW w:w="2180" w:type="dxa"/>
            <w:tcBorders>
              <w:top w:val="nil"/>
              <w:left w:val="nil"/>
              <w:bottom w:val="single" w:sz="4" w:space="0" w:color="auto"/>
              <w:right w:val="single" w:sz="4" w:space="0" w:color="auto"/>
            </w:tcBorders>
            <w:shd w:val="clear" w:color="auto" w:fill="auto"/>
          </w:tcPr>
          <w:p w:rsidR="00404FB9" w:rsidRPr="00404FB9" w:rsidRDefault="00404FB9" w:rsidP="00404FB9">
            <w:pPr>
              <w:jc w:val="right"/>
              <w:rPr>
                <w:rFonts w:ascii="Arial" w:hAnsi="Arial" w:cs="Arial"/>
                <w:sz w:val="17"/>
                <w:szCs w:val="17"/>
              </w:rPr>
            </w:pPr>
            <w:r w:rsidRPr="00404FB9">
              <w:rPr>
                <w:rFonts w:ascii="Arial" w:hAnsi="Arial" w:cs="Arial"/>
                <w:sz w:val="17"/>
                <w:szCs w:val="17"/>
              </w:rPr>
              <w:t xml:space="preserve">284,796,618 </w:t>
            </w:r>
          </w:p>
        </w:tc>
        <w:tc>
          <w:tcPr>
            <w:tcW w:w="2180" w:type="dxa"/>
            <w:tcBorders>
              <w:top w:val="nil"/>
              <w:left w:val="nil"/>
              <w:bottom w:val="single" w:sz="4" w:space="0" w:color="auto"/>
              <w:right w:val="single" w:sz="4" w:space="0" w:color="auto"/>
            </w:tcBorders>
            <w:shd w:val="clear" w:color="auto" w:fill="auto"/>
          </w:tcPr>
          <w:p w:rsidR="00404FB9" w:rsidRPr="00404FB9" w:rsidRDefault="00404FB9" w:rsidP="00404FB9">
            <w:pPr>
              <w:jc w:val="right"/>
              <w:rPr>
                <w:rFonts w:ascii="Arial" w:hAnsi="Arial" w:cs="Arial"/>
                <w:sz w:val="17"/>
                <w:szCs w:val="17"/>
              </w:rPr>
            </w:pPr>
            <w:r w:rsidRPr="00404FB9">
              <w:rPr>
                <w:rFonts w:ascii="Arial" w:hAnsi="Arial" w:cs="Arial"/>
                <w:sz w:val="17"/>
                <w:szCs w:val="17"/>
              </w:rPr>
              <w:t>322,154,765</w:t>
            </w:r>
          </w:p>
        </w:tc>
      </w:tr>
      <w:tr w:rsidR="00404FB9" w:rsidTr="00404FB9">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404FB9" w:rsidRPr="0015343C" w:rsidRDefault="00404FB9" w:rsidP="00404FB9">
            <w:pPr>
              <w:ind w:left="634"/>
              <w:rPr>
                <w:rFonts w:ascii="Arial" w:hAnsi="Arial" w:cs="Arial"/>
                <w:sz w:val="17"/>
                <w:szCs w:val="17"/>
              </w:rPr>
            </w:pPr>
            <w:r w:rsidRPr="0015343C">
              <w:rPr>
                <w:rFonts w:ascii="Arial" w:hAnsi="Arial" w:cs="Arial"/>
                <w:sz w:val="17"/>
                <w:szCs w:val="17"/>
              </w:rPr>
              <w:t>Servicios Generales</w:t>
            </w:r>
          </w:p>
        </w:tc>
        <w:tc>
          <w:tcPr>
            <w:tcW w:w="2180" w:type="dxa"/>
            <w:tcBorders>
              <w:top w:val="nil"/>
              <w:left w:val="nil"/>
              <w:bottom w:val="single" w:sz="4" w:space="0" w:color="auto"/>
              <w:right w:val="single" w:sz="4" w:space="0" w:color="auto"/>
            </w:tcBorders>
            <w:shd w:val="clear" w:color="auto" w:fill="auto"/>
          </w:tcPr>
          <w:p w:rsidR="00404FB9" w:rsidRPr="00404FB9" w:rsidRDefault="00404FB9" w:rsidP="00404FB9">
            <w:pPr>
              <w:jc w:val="right"/>
              <w:rPr>
                <w:rFonts w:ascii="Arial" w:hAnsi="Arial" w:cs="Arial"/>
                <w:sz w:val="17"/>
                <w:szCs w:val="17"/>
              </w:rPr>
            </w:pPr>
            <w:r w:rsidRPr="00404FB9">
              <w:rPr>
                <w:rFonts w:ascii="Arial" w:hAnsi="Arial" w:cs="Arial"/>
                <w:sz w:val="17"/>
                <w:szCs w:val="17"/>
              </w:rPr>
              <w:t xml:space="preserve">1,402,123,256 </w:t>
            </w:r>
          </w:p>
        </w:tc>
        <w:tc>
          <w:tcPr>
            <w:tcW w:w="2180" w:type="dxa"/>
            <w:tcBorders>
              <w:top w:val="nil"/>
              <w:left w:val="nil"/>
              <w:bottom w:val="single" w:sz="4" w:space="0" w:color="auto"/>
              <w:right w:val="single" w:sz="4" w:space="0" w:color="auto"/>
            </w:tcBorders>
            <w:shd w:val="clear" w:color="auto" w:fill="auto"/>
          </w:tcPr>
          <w:p w:rsidR="00404FB9" w:rsidRPr="00404FB9" w:rsidRDefault="00404FB9" w:rsidP="00404FB9">
            <w:pPr>
              <w:jc w:val="right"/>
              <w:rPr>
                <w:rFonts w:ascii="Arial" w:hAnsi="Arial" w:cs="Arial"/>
                <w:sz w:val="17"/>
                <w:szCs w:val="17"/>
              </w:rPr>
            </w:pPr>
            <w:r w:rsidRPr="00404FB9">
              <w:rPr>
                <w:rFonts w:ascii="Arial" w:hAnsi="Arial" w:cs="Arial"/>
                <w:sz w:val="17"/>
                <w:szCs w:val="17"/>
              </w:rPr>
              <w:t>1,488,023,839</w:t>
            </w:r>
          </w:p>
        </w:tc>
      </w:tr>
      <w:tr w:rsidR="00404FB9" w:rsidTr="00404FB9">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404FB9" w:rsidRPr="0069430E" w:rsidRDefault="00404FB9" w:rsidP="00404FB9">
            <w:pPr>
              <w:rPr>
                <w:rFonts w:ascii="Arial" w:hAnsi="Arial" w:cs="Arial"/>
                <w:b/>
                <w:sz w:val="17"/>
                <w:szCs w:val="17"/>
              </w:rPr>
            </w:pPr>
            <w:r w:rsidRPr="0069430E">
              <w:rPr>
                <w:rFonts w:ascii="Arial" w:hAnsi="Arial" w:cs="Arial"/>
                <w:b/>
                <w:sz w:val="17"/>
                <w:szCs w:val="17"/>
              </w:rPr>
              <w:t>Transferencias, Asignaciones, Subsidios y Otras Ayudas</w:t>
            </w:r>
          </w:p>
        </w:tc>
        <w:tc>
          <w:tcPr>
            <w:tcW w:w="2180" w:type="dxa"/>
            <w:tcBorders>
              <w:top w:val="nil"/>
              <w:left w:val="nil"/>
              <w:bottom w:val="single" w:sz="4" w:space="0" w:color="auto"/>
              <w:right w:val="single" w:sz="4" w:space="0" w:color="auto"/>
            </w:tcBorders>
            <w:shd w:val="clear" w:color="auto" w:fill="auto"/>
          </w:tcPr>
          <w:p w:rsidR="00404FB9" w:rsidRPr="00EE0340" w:rsidRDefault="00404FB9" w:rsidP="00404FB9">
            <w:pPr>
              <w:jc w:val="right"/>
              <w:rPr>
                <w:rFonts w:ascii="Arial" w:hAnsi="Arial" w:cs="Arial"/>
                <w:b/>
                <w:sz w:val="17"/>
                <w:szCs w:val="17"/>
              </w:rPr>
            </w:pPr>
            <w:r w:rsidRPr="00404FB9">
              <w:rPr>
                <w:rFonts w:ascii="Arial" w:hAnsi="Arial" w:cs="Arial"/>
                <w:b/>
                <w:sz w:val="17"/>
                <w:szCs w:val="17"/>
              </w:rPr>
              <w:t>22,440,667,230</w:t>
            </w:r>
          </w:p>
        </w:tc>
        <w:tc>
          <w:tcPr>
            <w:tcW w:w="2180" w:type="dxa"/>
            <w:tcBorders>
              <w:top w:val="nil"/>
              <w:left w:val="nil"/>
              <w:bottom w:val="single" w:sz="4" w:space="0" w:color="auto"/>
              <w:right w:val="single" w:sz="4" w:space="0" w:color="auto"/>
            </w:tcBorders>
            <w:shd w:val="clear" w:color="auto" w:fill="auto"/>
          </w:tcPr>
          <w:p w:rsidR="00404FB9" w:rsidRPr="00404FB9" w:rsidRDefault="00404FB9" w:rsidP="00404FB9">
            <w:pPr>
              <w:jc w:val="right"/>
              <w:rPr>
                <w:rFonts w:ascii="Arial" w:hAnsi="Arial" w:cs="Arial"/>
                <w:b/>
                <w:sz w:val="17"/>
                <w:szCs w:val="17"/>
              </w:rPr>
            </w:pPr>
            <w:r w:rsidRPr="00404FB9">
              <w:rPr>
                <w:rFonts w:ascii="Arial" w:hAnsi="Arial" w:cs="Arial"/>
                <w:b/>
                <w:sz w:val="17"/>
                <w:szCs w:val="17"/>
              </w:rPr>
              <w:t>20,395,912,236</w:t>
            </w:r>
          </w:p>
        </w:tc>
      </w:tr>
      <w:tr w:rsidR="00404FB9" w:rsidTr="00404FB9">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404FB9" w:rsidRPr="0069430E" w:rsidRDefault="00404FB9" w:rsidP="00404FB9">
            <w:pPr>
              <w:rPr>
                <w:rFonts w:ascii="Arial" w:hAnsi="Arial" w:cs="Arial"/>
                <w:b/>
                <w:sz w:val="17"/>
                <w:szCs w:val="17"/>
              </w:rPr>
            </w:pPr>
            <w:r w:rsidRPr="004D794F">
              <w:rPr>
                <w:rFonts w:ascii="Arial" w:hAnsi="Arial" w:cs="Arial"/>
                <w:b/>
                <w:sz w:val="17"/>
                <w:szCs w:val="17"/>
              </w:rPr>
              <w:t>Participaciones y Aportaciones</w:t>
            </w:r>
          </w:p>
        </w:tc>
        <w:tc>
          <w:tcPr>
            <w:tcW w:w="2180" w:type="dxa"/>
            <w:tcBorders>
              <w:top w:val="nil"/>
              <w:left w:val="nil"/>
              <w:bottom w:val="single" w:sz="4" w:space="0" w:color="auto"/>
              <w:right w:val="single" w:sz="4" w:space="0" w:color="auto"/>
            </w:tcBorders>
            <w:shd w:val="clear" w:color="auto" w:fill="auto"/>
          </w:tcPr>
          <w:p w:rsidR="00404FB9" w:rsidRPr="00EE0340" w:rsidRDefault="00404FB9" w:rsidP="00404FB9">
            <w:pPr>
              <w:jc w:val="right"/>
              <w:rPr>
                <w:rFonts w:ascii="Arial" w:hAnsi="Arial" w:cs="Arial"/>
                <w:b/>
                <w:sz w:val="17"/>
                <w:szCs w:val="17"/>
              </w:rPr>
            </w:pPr>
            <w:r w:rsidRPr="00404FB9">
              <w:rPr>
                <w:rFonts w:ascii="Arial" w:hAnsi="Arial" w:cs="Arial"/>
                <w:b/>
                <w:sz w:val="17"/>
                <w:szCs w:val="17"/>
              </w:rPr>
              <w:t>9,755,737,597</w:t>
            </w:r>
          </w:p>
        </w:tc>
        <w:tc>
          <w:tcPr>
            <w:tcW w:w="2180" w:type="dxa"/>
            <w:tcBorders>
              <w:top w:val="nil"/>
              <w:left w:val="nil"/>
              <w:bottom w:val="single" w:sz="4" w:space="0" w:color="auto"/>
              <w:right w:val="single" w:sz="4" w:space="0" w:color="auto"/>
            </w:tcBorders>
            <w:shd w:val="clear" w:color="auto" w:fill="auto"/>
          </w:tcPr>
          <w:p w:rsidR="00404FB9" w:rsidRPr="00404FB9" w:rsidRDefault="00404FB9" w:rsidP="00404FB9">
            <w:pPr>
              <w:jc w:val="right"/>
              <w:rPr>
                <w:rFonts w:ascii="Arial" w:hAnsi="Arial" w:cs="Arial"/>
                <w:b/>
                <w:sz w:val="17"/>
                <w:szCs w:val="17"/>
              </w:rPr>
            </w:pPr>
            <w:r w:rsidRPr="00404FB9">
              <w:rPr>
                <w:rFonts w:ascii="Arial" w:hAnsi="Arial" w:cs="Arial"/>
                <w:b/>
                <w:sz w:val="17"/>
                <w:szCs w:val="17"/>
              </w:rPr>
              <w:t>9,763,311,367</w:t>
            </w:r>
          </w:p>
        </w:tc>
      </w:tr>
      <w:tr w:rsidR="00404FB9" w:rsidTr="00404FB9">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404FB9" w:rsidRPr="0069430E" w:rsidRDefault="00404FB9" w:rsidP="00404FB9">
            <w:pPr>
              <w:rPr>
                <w:rFonts w:ascii="Arial" w:hAnsi="Arial" w:cs="Arial"/>
                <w:b/>
                <w:sz w:val="17"/>
                <w:szCs w:val="17"/>
              </w:rPr>
            </w:pPr>
            <w:r w:rsidRPr="0069430E">
              <w:rPr>
                <w:rFonts w:ascii="Arial" w:hAnsi="Arial" w:cs="Arial"/>
                <w:b/>
                <w:sz w:val="17"/>
                <w:szCs w:val="17"/>
              </w:rPr>
              <w:t>Otros Gastos y Pérdidas Extraordinarias</w:t>
            </w:r>
          </w:p>
        </w:tc>
        <w:tc>
          <w:tcPr>
            <w:tcW w:w="2180" w:type="dxa"/>
            <w:tcBorders>
              <w:top w:val="nil"/>
              <w:left w:val="nil"/>
              <w:bottom w:val="single" w:sz="4" w:space="0" w:color="auto"/>
              <w:right w:val="single" w:sz="4" w:space="0" w:color="auto"/>
            </w:tcBorders>
            <w:shd w:val="clear" w:color="auto" w:fill="auto"/>
          </w:tcPr>
          <w:p w:rsidR="00404FB9" w:rsidRPr="00EE0340" w:rsidRDefault="00404FB9" w:rsidP="00404FB9">
            <w:pPr>
              <w:jc w:val="right"/>
              <w:rPr>
                <w:rFonts w:ascii="Arial" w:hAnsi="Arial" w:cs="Arial"/>
                <w:b/>
                <w:sz w:val="17"/>
                <w:szCs w:val="17"/>
              </w:rPr>
            </w:pPr>
            <w:r w:rsidRPr="00EE0340">
              <w:rPr>
                <w:rFonts w:ascii="Arial" w:hAnsi="Arial" w:cs="Arial"/>
                <w:b/>
                <w:sz w:val="17"/>
                <w:szCs w:val="17"/>
              </w:rPr>
              <w:t>1,811,815,022</w:t>
            </w:r>
          </w:p>
        </w:tc>
        <w:tc>
          <w:tcPr>
            <w:tcW w:w="2180" w:type="dxa"/>
            <w:tcBorders>
              <w:top w:val="nil"/>
              <w:left w:val="nil"/>
              <w:bottom w:val="single" w:sz="4" w:space="0" w:color="auto"/>
              <w:right w:val="single" w:sz="4" w:space="0" w:color="auto"/>
            </w:tcBorders>
            <w:shd w:val="clear" w:color="auto" w:fill="auto"/>
          </w:tcPr>
          <w:p w:rsidR="00404FB9" w:rsidRPr="00404FB9" w:rsidRDefault="00404FB9" w:rsidP="00404FB9">
            <w:pPr>
              <w:jc w:val="right"/>
              <w:rPr>
                <w:rFonts w:ascii="Arial" w:hAnsi="Arial" w:cs="Arial"/>
                <w:b/>
                <w:sz w:val="17"/>
                <w:szCs w:val="17"/>
              </w:rPr>
            </w:pPr>
            <w:r w:rsidRPr="00404FB9">
              <w:rPr>
                <w:rFonts w:ascii="Arial" w:hAnsi="Arial" w:cs="Arial"/>
                <w:b/>
                <w:sz w:val="17"/>
                <w:szCs w:val="17"/>
              </w:rPr>
              <w:t>1,811,815,022</w:t>
            </w:r>
          </w:p>
        </w:tc>
      </w:tr>
      <w:tr w:rsidR="00404FB9" w:rsidTr="00404FB9">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404FB9" w:rsidRPr="0069430E" w:rsidRDefault="00404FB9" w:rsidP="00404FB9">
            <w:pPr>
              <w:rPr>
                <w:rFonts w:ascii="Arial" w:hAnsi="Arial" w:cs="Arial"/>
                <w:b/>
                <w:sz w:val="17"/>
                <w:szCs w:val="17"/>
              </w:rPr>
            </w:pPr>
            <w:r w:rsidRPr="00404FB9">
              <w:rPr>
                <w:rFonts w:ascii="Arial" w:hAnsi="Arial" w:cs="Arial"/>
                <w:b/>
                <w:sz w:val="17"/>
                <w:szCs w:val="17"/>
              </w:rPr>
              <w:t xml:space="preserve">Intereses, </w:t>
            </w:r>
            <w:r>
              <w:rPr>
                <w:rFonts w:ascii="Arial" w:hAnsi="Arial" w:cs="Arial"/>
                <w:b/>
                <w:sz w:val="17"/>
                <w:szCs w:val="17"/>
              </w:rPr>
              <w:t>C</w:t>
            </w:r>
            <w:r w:rsidRPr="00404FB9">
              <w:rPr>
                <w:rFonts w:ascii="Arial" w:hAnsi="Arial" w:cs="Arial"/>
                <w:b/>
                <w:sz w:val="17"/>
                <w:szCs w:val="17"/>
              </w:rPr>
              <w:t xml:space="preserve">omisiones </w:t>
            </w:r>
            <w:r>
              <w:rPr>
                <w:rFonts w:ascii="Arial" w:hAnsi="Arial" w:cs="Arial"/>
                <w:b/>
                <w:sz w:val="17"/>
                <w:szCs w:val="17"/>
              </w:rPr>
              <w:t>y</w:t>
            </w:r>
            <w:r w:rsidRPr="00404FB9">
              <w:rPr>
                <w:rFonts w:ascii="Arial" w:hAnsi="Arial" w:cs="Arial"/>
                <w:b/>
                <w:sz w:val="17"/>
                <w:szCs w:val="17"/>
              </w:rPr>
              <w:t xml:space="preserve"> </w:t>
            </w:r>
            <w:r>
              <w:rPr>
                <w:rFonts w:ascii="Arial" w:hAnsi="Arial" w:cs="Arial"/>
                <w:b/>
                <w:sz w:val="17"/>
                <w:szCs w:val="17"/>
              </w:rPr>
              <w:t>O</w:t>
            </w:r>
            <w:r w:rsidRPr="00404FB9">
              <w:rPr>
                <w:rFonts w:ascii="Arial" w:hAnsi="Arial" w:cs="Arial"/>
                <w:b/>
                <w:sz w:val="17"/>
                <w:szCs w:val="17"/>
              </w:rPr>
              <w:t xml:space="preserve">tros </w:t>
            </w:r>
            <w:r>
              <w:rPr>
                <w:rFonts w:ascii="Arial" w:hAnsi="Arial" w:cs="Arial"/>
                <w:b/>
                <w:sz w:val="17"/>
                <w:szCs w:val="17"/>
              </w:rPr>
              <w:t>G</w:t>
            </w:r>
            <w:r w:rsidRPr="00404FB9">
              <w:rPr>
                <w:rFonts w:ascii="Arial" w:hAnsi="Arial" w:cs="Arial"/>
                <w:b/>
                <w:sz w:val="17"/>
                <w:szCs w:val="17"/>
              </w:rPr>
              <w:t xml:space="preserve">astos de la </w:t>
            </w:r>
            <w:r>
              <w:rPr>
                <w:rFonts w:ascii="Arial" w:hAnsi="Arial" w:cs="Arial"/>
                <w:b/>
                <w:sz w:val="17"/>
                <w:szCs w:val="17"/>
              </w:rPr>
              <w:t>D</w:t>
            </w:r>
            <w:r w:rsidRPr="00404FB9">
              <w:rPr>
                <w:rFonts w:ascii="Arial" w:hAnsi="Arial" w:cs="Arial"/>
                <w:b/>
                <w:sz w:val="17"/>
                <w:szCs w:val="17"/>
              </w:rPr>
              <w:t xml:space="preserve">euda </w:t>
            </w:r>
            <w:r>
              <w:rPr>
                <w:rFonts w:ascii="Arial" w:hAnsi="Arial" w:cs="Arial"/>
                <w:b/>
                <w:sz w:val="17"/>
                <w:szCs w:val="17"/>
              </w:rPr>
              <w:t>Pú</w:t>
            </w:r>
            <w:r w:rsidRPr="00404FB9">
              <w:rPr>
                <w:rFonts w:ascii="Arial" w:hAnsi="Arial" w:cs="Arial"/>
                <w:b/>
                <w:sz w:val="17"/>
                <w:szCs w:val="17"/>
              </w:rPr>
              <w:t>blica</w:t>
            </w:r>
          </w:p>
        </w:tc>
        <w:tc>
          <w:tcPr>
            <w:tcW w:w="2180" w:type="dxa"/>
            <w:tcBorders>
              <w:top w:val="nil"/>
              <w:left w:val="nil"/>
              <w:bottom w:val="single" w:sz="4" w:space="0" w:color="auto"/>
              <w:right w:val="single" w:sz="4" w:space="0" w:color="auto"/>
            </w:tcBorders>
            <w:shd w:val="clear" w:color="auto" w:fill="auto"/>
          </w:tcPr>
          <w:p w:rsidR="00404FB9" w:rsidRPr="00EE0340" w:rsidRDefault="00404FB9" w:rsidP="00404FB9">
            <w:pPr>
              <w:jc w:val="right"/>
              <w:rPr>
                <w:rFonts w:ascii="Arial" w:hAnsi="Arial" w:cs="Arial"/>
                <w:b/>
                <w:sz w:val="17"/>
                <w:szCs w:val="17"/>
              </w:rPr>
            </w:pPr>
            <w:r w:rsidRPr="00404FB9">
              <w:rPr>
                <w:rFonts w:ascii="Arial" w:hAnsi="Arial" w:cs="Arial"/>
                <w:b/>
                <w:sz w:val="17"/>
                <w:szCs w:val="17"/>
              </w:rPr>
              <w:t>13,613,338</w:t>
            </w:r>
          </w:p>
        </w:tc>
        <w:tc>
          <w:tcPr>
            <w:tcW w:w="2180" w:type="dxa"/>
            <w:tcBorders>
              <w:top w:val="nil"/>
              <w:left w:val="nil"/>
              <w:bottom w:val="single" w:sz="4" w:space="0" w:color="auto"/>
              <w:right w:val="single" w:sz="4" w:space="0" w:color="auto"/>
            </w:tcBorders>
            <w:shd w:val="clear" w:color="auto" w:fill="auto"/>
          </w:tcPr>
          <w:p w:rsidR="00404FB9" w:rsidRPr="00404FB9" w:rsidRDefault="00404FB9" w:rsidP="00404FB9">
            <w:pPr>
              <w:jc w:val="right"/>
              <w:rPr>
                <w:rFonts w:ascii="Arial" w:hAnsi="Arial" w:cs="Arial"/>
                <w:b/>
                <w:sz w:val="17"/>
                <w:szCs w:val="17"/>
              </w:rPr>
            </w:pPr>
            <w:r w:rsidRPr="00404FB9">
              <w:rPr>
                <w:rFonts w:ascii="Arial" w:hAnsi="Arial" w:cs="Arial"/>
                <w:b/>
                <w:sz w:val="17"/>
                <w:szCs w:val="17"/>
              </w:rPr>
              <w:t>38,039,194</w:t>
            </w:r>
          </w:p>
        </w:tc>
      </w:tr>
      <w:tr w:rsidR="00404FB9" w:rsidTr="00404FB9">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404FB9" w:rsidRPr="00404FB9" w:rsidRDefault="00404FB9" w:rsidP="00404FB9">
            <w:pPr>
              <w:rPr>
                <w:rFonts w:ascii="Arial" w:hAnsi="Arial" w:cs="Arial"/>
                <w:b/>
                <w:sz w:val="17"/>
                <w:szCs w:val="17"/>
              </w:rPr>
            </w:pPr>
            <w:r w:rsidRPr="00404FB9">
              <w:rPr>
                <w:rFonts w:ascii="Arial" w:hAnsi="Arial" w:cs="Arial"/>
                <w:b/>
                <w:sz w:val="17"/>
                <w:szCs w:val="17"/>
              </w:rPr>
              <w:t xml:space="preserve">Otros </w:t>
            </w:r>
            <w:r>
              <w:rPr>
                <w:rFonts w:ascii="Arial" w:hAnsi="Arial" w:cs="Arial"/>
                <w:b/>
                <w:sz w:val="17"/>
                <w:szCs w:val="17"/>
              </w:rPr>
              <w:t>G</w:t>
            </w:r>
            <w:r w:rsidRPr="00404FB9">
              <w:rPr>
                <w:rFonts w:ascii="Arial" w:hAnsi="Arial" w:cs="Arial"/>
                <w:b/>
                <w:sz w:val="17"/>
                <w:szCs w:val="17"/>
              </w:rPr>
              <w:t xml:space="preserve">astos y </w:t>
            </w:r>
            <w:r>
              <w:rPr>
                <w:rFonts w:ascii="Arial" w:hAnsi="Arial" w:cs="Arial"/>
                <w:b/>
                <w:sz w:val="17"/>
                <w:szCs w:val="17"/>
              </w:rPr>
              <w:t>Pé</w:t>
            </w:r>
            <w:r w:rsidRPr="00404FB9">
              <w:rPr>
                <w:rFonts w:ascii="Arial" w:hAnsi="Arial" w:cs="Arial"/>
                <w:b/>
                <w:sz w:val="17"/>
                <w:szCs w:val="17"/>
              </w:rPr>
              <w:t xml:space="preserve">rdidas </w:t>
            </w:r>
            <w:r>
              <w:rPr>
                <w:rFonts w:ascii="Arial" w:hAnsi="Arial" w:cs="Arial"/>
                <w:b/>
                <w:sz w:val="17"/>
                <w:szCs w:val="17"/>
              </w:rPr>
              <w:t>E</w:t>
            </w:r>
            <w:r w:rsidRPr="00404FB9">
              <w:rPr>
                <w:rFonts w:ascii="Arial" w:hAnsi="Arial" w:cs="Arial"/>
                <w:b/>
                <w:sz w:val="17"/>
                <w:szCs w:val="17"/>
              </w:rPr>
              <w:t>xtraordinarias</w:t>
            </w:r>
          </w:p>
        </w:tc>
        <w:tc>
          <w:tcPr>
            <w:tcW w:w="2180" w:type="dxa"/>
            <w:tcBorders>
              <w:top w:val="nil"/>
              <w:left w:val="nil"/>
              <w:bottom w:val="single" w:sz="4" w:space="0" w:color="auto"/>
              <w:right w:val="single" w:sz="4" w:space="0" w:color="auto"/>
            </w:tcBorders>
            <w:shd w:val="clear" w:color="auto" w:fill="auto"/>
          </w:tcPr>
          <w:p w:rsidR="00404FB9" w:rsidRPr="00404FB9" w:rsidRDefault="00404FB9" w:rsidP="00404FB9">
            <w:pPr>
              <w:jc w:val="right"/>
              <w:rPr>
                <w:rFonts w:ascii="Arial" w:hAnsi="Arial" w:cs="Arial"/>
                <w:b/>
                <w:sz w:val="17"/>
                <w:szCs w:val="17"/>
              </w:rPr>
            </w:pPr>
            <w:r w:rsidRPr="00404FB9">
              <w:rPr>
                <w:rFonts w:ascii="Arial" w:hAnsi="Arial" w:cs="Arial"/>
                <w:b/>
                <w:sz w:val="17"/>
                <w:szCs w:val="17"/>
              </w:rPr>
              <w:t>1,476,084,924</w:t>
            </w:r>
          </w:p>
        </w:tc>
        <w:tc>
          <w:tcPr>
            <w:tcW w:w="2180" w:type="dxa"/>
            <w:tcBorders>
              <w:top w:val="nil"/>
              <w:left w:val="nil"/>
              <w:bottom w:val="single" w:sz="4" w:space="0" w:color="auto"/>
              <w:right w:val="single" w:sz="4" w:space="0" w:color="auto"/>
            </w:tcBorders>
            <w:shd w:val="clear" w:color="auto" w:fill="auto"/>
          </w:tcPr>
          <w:p w:rsidR="00404FB9" w:rsidRPr="00404FB9" w:rsidRDefault="00404FB9" w:rsidP="00404FB9">
            <w:pPr>
              <w:jc w:val="right"/>
              <w:rPr>
                <w:rFonts w:ascii="Arial" w:hAnsi="Arial" w:cs="Arial"/>
                <w:b/>
                <w:sz w:val="17"/>
                <w:szCs w:val="17"/>
              </w:rPr>
            </w:pPr>
            <w:r w:rsidRPr="00404FB9">
              <w:rPr>
                <w:rFonts w:ascii="Arial" w:hAnsi="Arial" w:cs="Arial"/>
                <w:b/>
                <w:sz w:val="17"/>
                <w:szCs w:val="17"/>
              </w:rPr>
              <w:t>1,811,815,022</w:t>
            </w:r>
          </w:p>
        </w:tc>
      </w:tr>
      <w:tr w:rsidR="00404FB9" w:rsidTr="00404FB9">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404FB9" w:rsidRPr="0069430E" w:rsidRDefault="00404FB9" w:rsidP="00404FB9">
            <w:pPr>
              <w:rPr>
                <w:rFonts w:ascii="Arial" w:hAnsi="Arial" w:cs="Arial"/>
                <w:b/>
                <w:sz w:val="17"/>
                <w:szCs w:val="17"/>
              </w:rPr>
            </w:pPr>
            <w:r w:rsidRPr="00EF3B8C">
              <w:rPr>
                <w:rFonts w:ascii="Arial" w:hAnsi="Arial" w:cs="Arial"/>
                <w:b/>
                <w:sz w:val="17"/>
                <w:szCs w:val="17"/>
              </w:rPr>
              <w:t>Inversión Pública</w:t>
            </w:r>
          </w:p>
        </w:tc>
        <w:tc>
          <w:tcPr>
            <w:tcW w:w="2180" w:type="dxa"/>
            <w:tcBorders>
              <w:top w:val="nil"/>
              <w:left w:val="nil"/>
              <w:bottom w:val="single" w:sz="4" w:space="0" w:color="auto"/>
              <w:right w:val="single" w:sz="4" w:space="0" w:color="auto"/>
            </w:tcBorders>
            <w:shd w:val="clear" w:color="auto" w:fill="auto"/>
          </w:tcPr>
          <w:p w:rsidR="00404FB9" w:rsidRPr="00EE0340" w:rsidRDefault="00404FB9" w:rsidP="00404FB9">
            <w:pPr>
              <w:jc w:val="right"/>
              <w:rPr>
                <w:rFonts w:ascii="Arial" w:hAnsi="Arial" w:cs="Arial"/>
                <w:b/>
                <w:sz w:val="17"/>
                <w:szCs w:val="17"/>
              </w:rPr>
            </w:pPr>
            <w:r w:rsidRPr="00404FB9">
              <w:rPr>
                <w:rFonts w:ascii="Arial" w:hAnsi="Arial" w:cs="Arial"/>
                <w:b/>
                <w:sz w:val="17"/>
                <w:szCs w:val="17"/>
              </w:rPr>
              <w:t>657,909,653</w:t>
            </w:r>
          </w:p>
        </w:tc>
        <w:tc>
          <w:tcPr>
            <w:tcW w:w="2180" w:type="dxa"/>
            <w:tcBorders>
              <w:top w:val="nil"/>
              <w:left w:val="nil"/>
              <w:bottom w:val="single" w:sz="4" w:space="0" w:color="auto"/>
              <w:right w:val="single" w:sz="4" w:space="0" w:color="auto"/>
            </w:tcBorders>
            <w:shd w:val="clear" w:color="auto" w:fill="auto"/>
          </w:tcPr>
          <w:p w:rsidR="00404FB9" w:rsidRPr="00404FB9" w:rsidRDefault="00404FB9" w:rsidP="00404FB9">
            <w:pPr>
              <w:jc w:val="right"/>
              <w:rPr>
                <w:rFonts w:ascii="Arial" w:hAnsi="Arial" w:cs="Arial"/>
                <w:b/>
                <w:sz w:val="17"/>
                <w:szCs w:val="17"/>
              </w:rPr>
            </w:pPr>
            <w:r w:rsidRPr="00404FB9">
              <w:rPr>
                <w:rFonts w:ascii="Arial" w:hAnsi="Arial" w:cs="Arial"/>
                <w:b/>
                <w:sz w:val="17"/>
                <w:szCs w:val="17"/>
              </w:rPr>
              <w:t>963,028,796</w:t>
            </w:r>
          </w:p>
        </w:tc>
      </w:tr>
      <w:tr w:rsidR="00404FB9" w:rsidRPr="002D70DA" w:rsidTr="00404FB9">
        <w:trPr>
          <w:trHeight w:val="240"/>
          <w:jc w:val="center"/>
        </w:trPr>
        <w:tc>
          <w:tcPr>
            <w:tcW w:w="4900" w:type="dxa"/>
            <w:tcBorders>
              <w:top w:val="nil"/>
              <w:left w:val="nil"/>
              <w:bottom w:val="nil"/>
              <w:right w:val="nil"/>
            </w:tcBorders>
            <w:shd w:val="clear" w:color="000000" w:fill="FFFFFF"/>
            <w:vAlign w:val="center"/>
            <w:hideMark/>
          </w:tcPr>
          <w:p w:rsidR="00404FB9" w:rsidRPr="002D70DA" w:rsidRDefault="00404FB9" w:rsidP="00404FB9">
            <w:pPr>
              <w:jc w:val="center"/>
              <w:rPr>
                <w:rFonts w:ascii="Arial" w:hAnsi="Arial" w:cs="Arial"/>
                <w:b/>
                <w:bCs/>
                <w:color w:val="000000"/>
                <w:sz w:val="17"/>
                <w:szCs w:val="17"/>
              </w:rPr>
            </w:pPr>
            <w:r>
              <w:rPr>
                <w:rFonts w:ascii="Arial" w:hAnsi="Arial" w:cs="Arial"/>
                <w:b/>
                <w:bCs/>
                <w:color w:val="000000"/>
                <w:sz w:val="17"/>
                <w:szCs w:val="17"/>
              </w:rPr>
              <w:t>Gastos y Otras Pérdidas</w:t>
            </w:r>
          </w:p>
        </w:tc>
        <w:tc>
          <w:tcPr>
            <w:tcW w:w="2180" w:type="dxa"/>
            <w:tcBorders>
              <w:top w:val="nil"/>
              <w:left w:val="single" w:sz="4" w:space="0" w:color="auto"/>
              <w:bottom w:val="single" w:sz="4" w:space="0" w:color="auto"/>
              <w:right w:val="single" w:sz="4" w:space="0" w:color="auto"/>
            </w:tcBorders>
            <w:shd w:val="clear" w:color="000000" w:fill="FFFFFF"/>
          </w:tcPr>
          <w:p w:rsidR="00404FB9" w:rsidRPr="00EE0340" w:rsidRDefault="00404FB9" w:rsidP="00404FB9">
            <w:pPr>
              <w:jc w:val="right"/>
              <w:rPr>
                <w:rFonts w:ascii="Arial" w:hAnsi="Arial" w:cs="Arial"/>
                <w:b/>
                <w:sz w:val="17"/>
                <w:szCs w:val="17"/>
              </w:rPr>
            </w:pPr>
            <w:r w:rsidRPr="00404FB9">
              <w:rPr>
                <w:rFonts w:ascii="Arial" w:hAnsi="Arial" w:cs="Arial"/>
                <w:b/>
                <w:sz w:val="17"/>
                <w:szCs w:val="17"/>
              </w:rPr>
              <w:t>42,902,964,653</w:t>
            </w:r>
          </w:p>
        </w:tc>
        <w:tc>
          <w:tcPr>
            <w:tcW w:w="2180" w:type="dxa"/>
            <w:tcBorders>
              <w:top w:val="single" w:sz="4" w:space="0" w:color="auto"/>
              <w:left w:val="nil"/>
              <w:bottom w:val="single" w:sz="4" w:space="0" w:color="auto"/>
              <w:right w:val="single" w:sz="4" w:space="0" w:color="auto"/>
            </w:tcBorders>
            <w:shd w:val="clear" w:color="000000" w:fill="FFFFFF"/>
            <w:noWrap/>
          </w:tcPr>
          <w:p w:rsidR="00404FB9" w:rsidRPr="00404FB9" w:rsidRDefault="00404FB9" w:rsidP="00404FB9">
            <w:pPr>
              <w:jc w:val="right"/>
              <w:rPr>
                <w:rFonts w:ascii="Arial" w:hAnsi="Arial" w:cs="Arial"/>
                <w:b/>
                <w:sz w:val="17"/>
                <w:szCs w:val="17"/>
              </w:rPr>
            </w:pPr>
            <w:r w:rsidRPr="00404FB9">
              <w:rPr>
                <w:rFonts w:ascii="Arial" w:hAnsi="Arial" w:cs="Arial"/>
                <w:b/>
                <w:sz w:val="17"/>
                <w:szCs w:val="17"/>
              </w:rPr>
              <w:t>38,682,014,066</w:t>
            </w:r>
          </w:p>
        </w:tc>
      </w:tr>
    </w:tbl>
    <w:p w:rsidR="00510FDC" w:rsidRDefault="00510FDC" w:rsidP="00510FDC">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El rubro de Servicios Personales está distribuido de la siguiente manera:</w:t>
      </w:r>
    </w:p>
    <w:p w:rsidR="00510FDC" w:rsidRPr="002D70DA" w:rsidRDefault="00510FDC" w:rsidP="00510FDC">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8A039E" w:rsidRPr="002D70DA" w:rsidTr="0016401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A039E" w:rsidRPr="002D70DA" w:rsidRDefault="008A039E" w:rsidP="009831D5">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8A039E" w:rsidRPr="002D70DA" w:rsidRDefault="00FD7D84" w:rsidP="009831D5">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8A039E" w:rsidRPr="002D70DA" w:rsidRDefault="00FD7D84" w:rsidP="009831D5">
            <w:pPr>
              <w:jc w:val="center"/>
              <w:rPr>
                <w:rFonts w:ascii="Arial" w:hAnsi="Arial" w:cs="Arial"/>
                <w:b/>
                <w:bCs/>
                <w:color w:val="000000"/>
                <w:sz w:val="17"/>
                <w:szCs w:val="17"/>
              </w:rPr>
            </w:pPr>
            <w:r>
              <w:rPr>
                <w:rFonts w:ascii="Arial" w:hAnsi="Arial" w:cs="Arial"/>
                <w:b/>
                <w:bCs/>
                <w:color w:val="000000"/>
                <w:sz w:val="17"/>
                <w:szCs w:val="17"/>
              </w:rPr>
              <w:t>2019</w:t>
            </w:r>
          </w:p>
        </w:tc>
      </w:tr>
      <w:tr w:rsidR="0016401B" w:rsidRPr="002D70DA" w:rsidTr="0016401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6401B" w:rsidRPr="00C34218" w:rsidRDefault="0016401B" w:rsidP="0016401B">
            <w:pPr>
              <w:rPr>
                <w:rFonts w:ascii="Arial" w:hAnsi="Arial" w:cs="Arial"/>
                <w:b/>
                <w:sz w:val="17"/>
                <w:szCs w:val="17"/>
              </w:rPr>
            </w:pPr>
            <w:r w:rsidRPr="00C34218">
              <w:rPr>
                <w:rFonts w:ascii="Arial" w:hAnsi="Arial" w:cs="Arial"/>
                <w:b/>
                <w:sz w:val="17"/>
                <w:szCs w:val="17"/>
              </w:rPr>
              <w:t>Poder Ejecutivo</w:t>
            </w:r>
          </w:p>
        </w:tc>
        <w:tc>
          <w:tcPr>
            <w:tcW w:w="2180" w:type="dxa"/>
            <w:tcBorders>
              <w:top w:val="single" w:sz="4" w:space="0" w:color="auto"/>
              <w:left w:val="nil"/>
              <w:bottom w:val="single" w:sz="4" w:space="0" w:color="auto"/>
              <w:right w:val="single" w:sz="4" w:space="0" w:color="auto"/>
            </w:tcBorders>
            <w:shd w:val="clear" w:color="auto" w:fill="auto"/>
          </w:tcPr>
          <w:p w:rsidR="0016401B" w:rsidRPr="0016401B" w:rsidRDefault="0016401B" w:rsidP="0016401B">
            <w:pPr>
              <w:jc w:val="right"/>
              <w:rPr>
                <w:rFonts w:ascii="Arial" w:hAnsi="Arial" w:cs="Arial"/>
                <w:b/>
                <w:sz w:val="17"/>
                <w:szCs w:val="17"/>
              </w:rPr>
            </w:pPr>
            <w:r w:rsidRPr="0016401B">
              <w:rPr>
                <w:rFonts w:ascii="Arial" w:hAnsi="Arial" w:cs="Arial"/>
                <w:b/>
                <w:sz w:val="17"/>
                <w:szCs w:val="17"/>
              </w:rPr>
              <w:t xml:space="preserve">2,310,479,943 </w:t>
            </w:r>
          </w:p>
        </w:tc>
        <w:tc>
          <w:tcPr>
            <w:tcW w:w="2180" w:type="dxa"/>
            <w:tcBorders>
              <w:top w:val="single" w:sz="4" w:space="0" w:color="auto"/>
              <w:left w:val="nil"/>
              <w:bottom w:val="single" w:sz="4" w:space="0" w:color="auto"/>
              <w:right w:val="single" w:sz="4" w:space="0" w:color="auto"/>
            </w:tcBorders>
            <w:shd w:val="clear" w:color="auto" w:fill="auto"/>
          </w:tcPr>
          <w:p w:rsidR="0016401B" w:rsidRPr="0016401B" w:rsidRDefault="0016401B" w:rsidP="0016401B">
            <w:pPr>
              <w:jc w:val="right"/>
              <w:rPr>
                <w:rFonts w:ascii="Arial" w:hAnsi="Arial" w:cs="Arial"/>
                <w:b/>
                <w:sz w:val="17"/>
                <w:szCs w:val="17"/>
              </w:rPr>
            </w:pPr>
            <w:r w:rsidRPr="0016401B">
              <w:rPr>
                <w:rFonts w:ascii="Arial" w:hAnsi="Arial" w:cs="Arial"/>
                <w:b/>
                <w:sz w:val="17"/>
                <w:szCs w:val="17"/>
              </w:rPr>
              <w:t xml:space="preserve">2,122,220,188 </w:t>
            </w:r>
          </w:p>
        </w:tc>
      </w:tr>
      <w:tr w:rsidR="0016401B" w:rsidRPr="002D70DA" w:rsidTr="0016401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6401B" w:rsidRPr="00C34218" w:rsidRDefault="0016401B" w:rsidP="0016401B">
            <w:pPr>
              <w:rPr>
                <w:rFonts w:ascii="Arial" w:hAnsi="Arial" w:cs="Arial"/>
                <w:b/>
                <w:sz w:val="17"/>
                <w:szCs w:val="17"/>
              </w:rPr>
            </w:pPr>
            <w:r w:rsidRPr="00C34218">
              <w:rPr>
                <w:rFonts w:ascii="Arial" w:hAnsi="Arial" w:cs="Arial"/>
                <w:b/>
                <w:sz w:val="17"/>
                <w:szCs w:val="17"/>
              </w:rPr>
              <w:t>Poder Judicial</w:t>
            </w:r>
          </w:p>
        </w:tc>
        <w:tc>
          <w:tcPr>
            <w:tcW w:w="2180" w:type="dxa"/>
            <w:tcBorders>
              <w:top w:val="single" w:sz="4" w:space="0" w:color="auto"/>
              <w:left w:val="nil"/>
              <w:bottom w:val="single" w:sz="4" w:space="0" w:color="auto"/>
              <w:right w:val="single" w:sz="4" w:space="0" w:color="auto"/>
            </w:tcBorders>
            <w:shd w:val="clear" w:color="auto" w:fill="auto"/>
          </w:tcPr>
          <w:p w:rsidR="0016401B" w:rsidRPr="0016401B" w:rsidRDefault="0016401B" w:rsidP="0016401B">
            <w:pPr>
              <w:jc w:val="right"/>
              <w:rPr>
                <w:rFonts w:ascii="Arial" w:hAnsi="Arial" w:cs="Arial"/>
                <w:b/>
                <w:sz w:val="17"/>
                <w:szCs w:val="17"/>
              </w:rPr>
            </w:pPr>
            <w:r w:rsidRPr="0016401B">
              <w:rPr>
                <w:rFonts w:ascii="Arial" w:hAnsi="Arial" w:cs="Arial"/>
                <w:b/>
                <w:sz w:val="17"/>
                <w:szCs w:val="17"/>
              </w:rPr>
              <w:t xml:space="preserve">731,437,004 </w:t>
            </w:r>
          </w:p>
        </w:tc>
        <w:tc>
          <w:tcPr>
            <w:tcW w:w="2180" w:type="dxa"/>
            <w:tcBorders>
              <w:top w:val="single" w:sz="4" w:space="0" w:color="auto"/>
              <w:left w:val="nil"/>
              <w:bottom w:val="single" w:sz="4" w:space="0" w:color="auto"/>
              <w:right w:val="single" w:sz="4" w:space="0" w:color="auto"/>
            </w:tcBorders>
            <w:shd w:val="clear" w:color="auto" w:fill="auto"/>
          </w:tcPr>
          <w:p w:rsidR="0016401B" w:rsidRPr="0016401B" w:rsidRDefault="0016401B" w:rsidP="0016401B">
            <w:pPr>
              <w:jc w:val="right"/>
              <w:rPr>
                <w:rFonts w:ascii="Arial" w:hAnsi="Arial" w:cs="Arial"/>
                <w:b/>
                <w:sz w:val="17"/>
                <w:szCs w:val="17"/>
              </w:rPr>
            </w:pPr>
            <w:r w:rsidRPr="0016401B">
              <w:rPr>
                <w:rFonts w:ascii="Arial" w:hAnsi="Arial" w:cs="Arial"/>
                <w:b/>
                <w:sz w:val="17"/>
                <w:szCs w:val="17"/>
              </w:rPr>
              <w:t xml:space="preserve">704,326,874 </w:t>
            </w:r>
          </w:p>
        </w:tc>
      </w:tr>
      <w:tr w:rsidR="0016401B" w:rsidRPr="002D70DA" w:rsidTr="0016401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6401B" w:rsidRPr="00C34218" w:rsidRDefault="0016401B" w:rsidP="0016401B">
            <w:pPr>
              <w:rPr>
                <w:rFonts w:ascii="Arial" w:hAnsi="Arial" w:cs="Arial"/>
                <w:b/>
                <w:sz w:val="17"/>
                <w:szCs w:val="17"/>
              </w:rPr>
            </w:pPr>
            <w:r w:rsidRPr="00C34218">
              <w:rPr>
                <w:rFonts w:ascii="Arial" w:hAnsi="Arial" w:cs="Arial"/>
                <w:b/>
                <w:sz w:val="17"/>
                <w:szCs w:val="17"/>
              </w:rPr>
              <w:t>Poder Legislativo</w:t>
            </w:r>
          </w:p>
        </w:tc>
        <w:tc>
          <w:tcPr>
            <w:tcW w:w="2180" w:type="dxa"/>
            <w:tcBorders>
              <w:top w:val="single" w:sz="4" w:space="0" w:color="auto"/>
              <w:left w:val="nil"/>
              <w:bottom w:val="single" w:sz="4" w:space="0" w:color="auto"/>
              <w:right w:val="single" w:sz="4" w:space="0" w:color="auto"/>
            </w:tcBorders>
            <w:shd w:val="clear" w:color="auto" w:fill="auto"/>
          </w:tcPr>
          <w:p w:rsidR="0016401B" w:rsidRPr="0016401B" w:rsidRDefault="0016401B" w:rsidP="0016401B">
            <w:pPr>
              <w:jc w:val="right"/>
              <w:rPr>
                <w:rFonts w:ascii="Arial" w:hAnsi="Arial" w:cs="Arial"/>
                <w:b/>
                <w:sz w:val="17"/>
                <w:szCs w:val="17"/>
              </w:rPr>
            </w:pPr>
            <w:r w:rsidRPr="0016401B">
              <w:rPr>
                <w:rFonts w:ascii="Arial" w:hAnsi="Arial" w:cs="Arial"/>
                <w:b/>
                <w:sz w:val="17"/>
                <w:szCs w:val="17"/>
              </w:rPr>
              <w:t xml:space="preserve">158,725,504 </w:t>
            </w:r>
          </w:p>
        </w:tc>
        <w:tc>
          <w:tcPr>
            <w:tcW w:w="2180" w:type="dxa"/>
            <w:tcBorders>
              <w:top w:val="single" w:sz="4" w:space="0" w:color="auto"/>
              <w:left w:val="nil"/>
              <w:bottom w:val="single" w:sz="4" w:space="0" w:color="auto"/>
              <w:right w:val="single" w:sz="4" w:space="0" w:color="auto"/>
            </w:tcBorders>
            <w:shd w:val="clear" w:color="auto" w:fill="auto"/>
          </w:tcPr>
          <w:p w:rsidR="0016401B" w:rsidRPr="0016401B" w:rsidRDefault="0016401B" w:rsidP="0016401B">
            <w:pPr>
              <w:jc w:val="right"/>
              <w:rPr>
                <w:rFonts w:ascii="Arial" w:hAnsi="Arial" w:cs="Arial"/>
                <w:b/>
                <w:sz w:val="17"/>
                <w:szCs w:val="17"/>
              </w:rPr>
            </w:pPr>
            <w:r w:rsidRPr="0016401B">
              <w:rPr>
                <w:rFonts w:ascii="Arial" w:hAnsi="Arial" w:cs="Arial"/>
                <w:b/>
                <w:sz w:val="17"/>
                <w:szCs w:val="17"/>
              </w:rPr>
              <w:t xml:space="preserve">149,698,361 </w:t>
            </w:r>
          </w:p>
        </w:tc>
      </w:tr>
      <w:tr w:rsidR="0016401B" w:rsidRPr="002D70DA" w:rsidTr="0016401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6401B" w:rsidRPr="00C34218" w:rsidRDefault="0016401B" w:rsidP="0016401B">
            <w:pPr>
              <w:rPr>
                <w:rFonts w:ascii="Arial" w:hAnsi="Arial" w:cs="Arial"/>
                <w:b/>
                <w:sz w:val="17"/>
                <w:szCs w:val="17"/>
              </w:rPr>
            </w:pPr>
            <w:r w:rsidRPr="00C34218">
              <w:rPr>
                <w:rFonts w:ascii="Arial" w:hAnsi="Arial" w:cs="Arial"/>
                <w:b/>
                <w:sz w:val="17"/>
                <w:szCs w:val="17"/>
              </w:rPr>
              <w:t>Órganos Autónomos</w:t>
            </w:r>
          </w:p>
        </w:tc>
        <w:tc>
          <w:tcPr>
            <w:tcW w:w="2180" w:type="dxa"/>
            <w:tcBorders>
              <w:top w:val="single" w:sz="4" w:space="0" w:color="auto"/>
              <w:left w:val="nil"/>
              <w:bottom w:val="single" w:sz="4" w:space="0" w:color="auto"/>
              <w:right w:val="single" w:sz="4" w:space="0" w:color="auto"/>
            </w:tcBorders>
            <w:shd w:val="clear" w:color="auto" w:fill="auto"/>
          </w:tcPr>
          <w:p w:rsidR="0016401B" w:rsidRPr="0016401B" w:rsidRDefault="0016401B" w:rsidP="0016401B">
            <w:pPr>
              <w:jc w:val="right"/>
              <w:rPr>
                <w:rFonts w:ascii="Arial" w:hAnsi="Arial" w:cs="Arial"/>
                <w:b/>
                <w:sz w:val="17"/>
                <w:szCs w:val="17"/>
              </w:rPr>
            </w:pPr>
            <w:r w:rsidRPr="0016401B">
              <w:rPr>
                <w:rFonts w:ascii="Arial" w:hAnsi="Arial" w:cs="Arial"/>
                <w:b/>
                <w:sz w:val="17"/>
                <w:szCs w:val="17"/>
              </w:rPr>
              <w:t xml:space="preserve">993,552,178 </w:t>
            </w:r>
          </w:p>
        </w:tc>
        <w:tc>
          <w:tcPr>
            <w:tcW w:w="2180" w:type="dxa"/>
            <w:tcBorders>
              <w:top w:val="single" w:sz="4" w:space="0" w:color="auto"/>
              <w:left w:val="nil"/>
              <w:bottom w:val="single" w:sz="4" w:space="0" w:color="auto"/>
              <w:right w:val="single" w:sz="4" w:space="0" w:color="auto"/>
            </w:tcBorders>
            <w:shd w:val="clear" w:color="auto" w:fill="auto"/>
          </w:tcPr>
          <w:p w:rsidR="0016401B" w:rsidRPr="0016401B" w:rsidRDefault="0016401B" w:rsidP="0016401B">
            <w:pPr>
              <w:jc w:val="right"/>
              <w:rPr>
                <w:rFonts w:ascii="Arial" w:hAnsi="Arial" w:cs="Arial"/>
                <w:b/>
                <w:sz w:val="17"/>
                <w:szCs w:val="17"/>
              </w:rPr>
            </w:pPr>
            <w:r w:rsidRPr="0016401B">
              <w:rPr>
                <w:rFonts w:ascii="Arial" w:hAnsi="Arial" w:cs="Arial"/>
                <w:b/>
                <w:sz w:val="17"/>
                <w:szCs w:val="17"/>
              </w:rPr>
              <w:t xml:space="preserve">923,483,424 </w:t>
            </w:r>
          </w:p>
        </w:tc>
      </w:tr>
      <w:tr w:rsidR="0016401B" w:rsidRPr="002D70DA" w:rsidTr="0016401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6401B" w:rsidRPr="00C34218" w:rsidRDefault="0016401B" w:rsidP="0016401B">
            <w:pPr>
              <w:ind w:left="497"/>
              <w:rPr>
                <w:rFonts w:ascii="Arial" w:hAnsi="Arial" w:cs="Arial"/>
                <w:sz w:val="17"/>
                <w:szCs w:val="17"/>
              </w:rPr>
            </w:pPr>
            <w:r w:rsidRPr="00C34218">
              <w:rPr>
                <w:rFonts w:ascii="Arial" w:hAnsi="Arial" w:cs="Arial"/>
                <w:sz w:val="17"/>
                <w:szCs w:val="17"/>
              </w:rPr>
              <w:t>Comisión de Transparencia y Acceso a la</w:t>
            </w:r>
          </w:p>
          <w:p w:rsidR="0016401B" w:rsidRPr="00560A6D" w:rsidRDefault="0016401B" w:rsidP="0016401B">
            <w:pPr>
              <w:ind w:left="497"/>
              <w:rPr>
                <w:rFonts w:ascii="Arial" w:hAnsi="Arial" w:cs="Arial"/>
                <w:sz w:val="17"/>
                <w:szCs w:val="17"/>
              </w:rPr>
            </w:pPr>
            <w:r w:rsidRPr="00C34218">
              <w:rPr>
                <w:rFonts w:ascii="Arial" w:hAnsi="Arial" w:cs="Arial"/>
                <w:sz w:val="17"/>
                <w:szCs w:val="17"/>
              </w:rPr>
              <w:t>Información Pública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16401B" w:rsidRPr="0016401B" w:rsidRDefault="0016401B" w:rsidP="0016401B">
            <w:pPr>
              <w:jc w:val="right"/>
              <w:rPr>
                <w:rFonts w:ascii="Arial" w:hAnsi="Arial" w:cs="Arial"/>
                <w:sz w:val="17"/>
                <w:szCs w:val="17"/>
              </w:rPr>
            </w:pPr>
            <w:r w:rsidRPr="0016401B">
              <w:rPr>
                <w:rFonts w:ascii="Arial" w:hAnsi="Arial" w:cs="Arial"/>
                <w:sz w:val="17"/>
                <w:szCs w:val="17"/>
              </w:rPr>
              <w:t xml:space="preserve">15,686,819 </w:t>
            </w:r>
          </w:p>
        </w:tc>
        <w:tc>
          <w:tcPr>
            <w:tcW w:w="2180" w:type="dxa"/>
            <w:tcBorders>
              <w:top w:val="single" w:sz="4" w:space="0" w:color="auto"/>
              <w:left w:val="nil"/>
              <w:bottom w:val="single" w:sz="4" w:space="0" w:color="auto"/>
              <w:right w:val="single" w:sz="4" w:space="0" w:color="auto"/>
            </w:tcBorders>
            <w:shd w:val="clear" w:color="auto" w:fill="auto"/>
          </w:tcPr>
          <w:p w:rsidR="0016401B" w:rsidRPr="0016401B" w:rsidRDefault="0016401B" w:rsidP="0016401B">
            <w:pPr>
              <w:jc w:val="right"/>
              <w:rPr>
                <w:rFonts w:ascii="Arial" w:hAnsi="Arial" w:cs="Arial"/>
                <w:sz w:val="17"/>
                <w:szCs w:val="17"/>
              </w:rPr>
            </w:pPr>
            <w:r w:rsidRPr="0016401B">
              <w:rPr>
                <w:rFonts w:ascii="Arial" w:hAnsi="Arial" w:cs="Arial"/>
                <w:sz w:val="17"/>
                <w:szCs w:val="17"/>
              </w:rPr>
              <w:t xml:space="preserve">14,198,825 </w:t>
            </w:r>
          </w:p>
        </w:tc>
      </w:tr>
      <w:tr w:rsidR="0016401B" w:rsidRPr="002D70DA" w:rsidTr="0016401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6401B" w:rsidRPr="00560A6D" w:rsidRDefault="0016401B" w:rsidP="0016401B">
            <w:pPr>
              <w:ind w:left="497"/>
              <w:rPr>
                <w:rFonts w:ascii="Arial" w:hAnsi="Arial" w:cs="Arial"/>
                <w:sz w:val="17"/>
                <w:szCs w:val="17"/>
              </w:rPr>
            </w:pPr>
            <w:r w:rsidRPr="00C34218">
              <w:rPr>
                <w:rFonts w:ascii="Arial" w:hAnsi="Arial" w:cs="Arial"/>
                <w:sz w:val="17"/>
                <w:szCs w:val="17"/>
              </w:rPr>
              <w:t>Defensoría de los Derechos Humanos de Querétaro</w:t>
            </w:r>
          </w:p>
        </w:tc>
        <w:tc>
          <w:tcPr>
            <w:tcW w:w="2180" w:type="dxa"/>
            <w:tcBorders>
              <w:top w:val="single" w:sz="4" w:space="0" w:color="auto"/>
              <w:left w:val="nil"/>
              <w:bottom w:val="single" w:sz="4" w:space="0" w:color="auto"/>
              <w:right w:val="single" w:sz="4" w:space="0" w:color="auto"/>
            </w:tcBorders>
            <w:shd w:val="clear" w:color="auto" w:fill="auto"/>
          </w:tcPr>
          <w:p w:rsidR="0016401B" w:rsidRPr="0016401B" w:rsidRDefault="0016401B" w:rsidP="0016401B">
            <w:pPr>
              <w:jc w:val="right"/>
              <w:rPr>
                <w:rFonts w:ascii="Arial" w:hAnsi="Arial" w:cs="Arial"/>
                <w:sz w:val="17"/>
                <w:szCs w:val="17"/>
              </w:rPr>
            </w:pPr>
            <w:r w:rsidRPr="0016401B">
              <w:rPr>
                <w:rFonts w:ascii="Arial" w:hAnsi="Arial" w:cs="Arial"/>
                <w:sz w:val="17"/>
                <w:szCs w:val="17"/>
              </w:rPr>
              <w:t xml:space="preserve">22,863,594 </w:t>
            </w:r>
          </w:p>
        </w:tc>
        <w:tc>
          <w:tcPr>
            <w:tcW w:w="2180" w:type="dxa"/>
            <w:tcBorders>
              <w:top w:val="single" w:sz="4" w:space="0" w:color="auto"/>
              <w:left w:val="nil"/>
              <w:bottom w:val="single" w:sz="4" w:space="0" w:color="auto"/>
              <w:right w:val="single" w:sz="4" w:space="0" w:color="auto"/>
            </w:tcBorders>
            <w:shd w:val="clear" w:color="auto" w:fill="auto"/>
          </w:tcPr>
          <w:p w:rsidR="0016401B" w:rsidRPr="0016401B" w:rsidRDefault="0016401B" w:rsidP="0016401B">
            <w:pPr>
              <w:jc w:val="right"/>
              <w:rPr>
                <w:rFonts w:ascii="Arial" w:hAnsi="Arial" w:cs="Arial"/>
                <w:sz w:val="17"/>
                <w:szCs w:val="17"/>
              </w:rPr>
            </w:pPr>
            <w:r w:rsidRPr="0016401B">
              <w:rPr>
                <w:rFonts w:ascii="Arial" w:hAnsi="Arial" w:cs="Arial"/>
                <w:sz w:val="17"/>
                <w:szCs w:val="17"/>
              </w:rPr>
              <w:t xml:space="preserve">22,288,673 </w:t>
            </w:r>
          </w:p>
        </w:tc>
      </w:tr>
      <w:tr w:rsidR="0016401B" w:rsidRPr="002D70DA" w:rsidTr="0016401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6401B" w:rsidRPr="00C34218" w:rsidRDefault="0016401B" w:rsidP="0016401B">
            <w:pPr>
              <w:ind w:left="497"/>
              <w:rPr>
                <w:rFonts w:ascii="Arial" w:hAnsi="Arial" w:cs="Arial"/>
                <w:sz w:val="17"/>
                <w:szCs w:val="17"/>
              </w:rPr>
            </w:pPr>
            <w:r w:rsidRPr="00C34218">
              <w:rPr>
                <w:rFonts w:ascii="Arial" w:hAnsi="Arial" w:cs="Arial"/>
                <w:sz w:val="17"/>
                <w:szCs w:val="17"/>
              </w:rPr>
              <w:t>Entidad Superior de Fiscalización del Estado de</w:t>
            </w:r>
          </w:p>
          <w:p w:rsidR="0016401B" w:rsidRPr="00C34218" w:rsidRDefault="0016401B" w:rsidP="0016401B">
            <w:pPr>
              <w:ind w:left="497"/>
              <w:rPr>
                <w:rFonts w:ascii="Arial" w:hAnsi="Arial" w:cs="Arial"/>
                <w:sz w:val="17"/>
                <w:szCs w:val="17"/>
              </w:rPr>
            </w:pPr>
            <w:r w:rsidRPr="00C34218">
              <w:rPr>
                <w:rFonts w:ascii="Arial" w:hAnsi="Arial" w:cs="Arial"/>
                <w:sz w:val="17"/>
                <w:szCs w:val="17"/>
              </w:rPr>
              <w:t>Querétaro</w:t>
            </w:r>
          </w:p>
        </w:tc>
        <w:tc>
          <w:tcPr>
            <w:tcW w:w="2180" w:type="dxa"/>
            <w:tcBorders>
              <w:top w:val="single" w:sz="4" w:space="0" w:color="auto"/>
              <w:left w:val="nil"/>
              <w:bottom w:val="single" w:sz="4" w:space="0" w:color="auto"/>
              <w:right w:val="single" w:sz="4" w:space="0" w:color="auto"/>
            </w:tcBorders>
            <w:shd w:val="clear" w:color="auto" w:fill="auto"/>
          </w:tcPr>
          <w:p w:rsidR="0016401B" w:rsidRPr="0016401B" w:rsidRDefault="0016401B" w:rsidP="0016401B">
            <w:pPr>
              <w:jc w:val="right"/>
              <w:rPr>
                <w:rFonts w:ascii="Arial" w:hAnsi="Arial" w:cs="Arial"/>
                <w:sz w:val="17"/>
                <w:szCs w:val="17"/>
              </w:rPr>
            </w:pPr>
            <w:r w:rsidRPr="0016401B">
              <w:rPr>
                <w:rFonts w:ascii="Arial" w:hAnsi="Arial" w:cs="Arial"/>
                <w:sz w:val="17"/>
                <w:szCs w:val="17"/>
              </w:rPr>
              <w:t xml:space="preserve">70,152,287 </w:t>
            </w:r>
          </w:p>
        </w:tc>
        <w:tc>
          <w:tcPr>
            <w:tcW w:w="2180" w:type="dxa"/>
            <w:tcBorders>
              <w:top w:val="single" w:sz="4" w:space="0" w:color="auto"/>
              <w:left w:val="nil"/>
              <w:bottom w:val="single" w:sz="4" w:space="0" w:color="auto"/>
              <w:right w:val="single" w:sz="4" w:space="0" w:color="auto"/>
            </w:tcBorders>
            <w:shd w:val="clear" w:color="auto" w:fill="auto"/>
          </w:tcPr>
          <w:p w:rsidR="0016401B" w:rsidRPr="0016401B" w:rsidRDefault="0016401B" w:rsidP="0016401B">
            <w:pPr>
              <w:jc w:val="right"/>
              <w:rPr>
                <w:rFonts w:ascii="Arial" w:hAnsi="Arial" w:cs="Arial"/>
                <w:sz w:val="17"/>
                <w:szCs w:val="17"/>
              </w:rPr>
            </w:pPr>
            <w:r w:rsidRPr="0016401B">
              <w:rPr>
                <w:rFonts w:ascii="Arial" w:hAnsi="Arial" w:cs="Arial"/>
                <w:sz w:val="17"/>
                <w:szCs w:val="17"/>
              </w:rPr>
              <w:t xml:space="preserve">71,976,905 </w:t>
            </w:r>
          </w:p>
        </w:tc>
      </w:tr>
      <w:tr w:rsidR="0016401B" w:rsidRPr="002D70DA" w:rsidTr="0016401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6401B" w:rsidRPr="00C34218" w:rsidRDefault="0016401B" w:rsidP="0016401B">
            <w:pPr>
              <w:ind w:left="497"/>
              <w:rPr>
                <w:rFonts w:ascii="Arial" w:hAnsi="Arial" w:cs="Arial"/>
                <w:sz w:val="17"/>
                <w:szCs w:val="17"/>
              </w:rPr>
            </w:pPr>
            <w:r w:rsidRPr="00C34218">
              <w:rPr>
                <w:rFonts w:ascii="Arial" w:hAnsi="Arial" w:cs="Arial"/>
                <w:sz w:val="17"/>
                <w:szCs w:val="17"/>
              </w:rPr>
              <w:t>Fiscalía General del Estado</w:t>
            </w:r>
          </w:p>
        </w:tc>
        <w:tc>
          <w:tcPr>
            <w:tcW w:w="2180" w:type="dxa"/>
            <w:tcBorders>
              <w:top w:val="single" w:sz="4" w:space="0" w:color="auto"/>
              <w:left w:val="nil"/>
              <w:bottom w:val="single" w:sz="4" w:space="0" w:color="auto"/>
              <w:right w:val="single" w:sz="4" w:space="0" w:color="auto"/>
            </w:tcBorders>
            <w:shd w:val="clear" w:color="auto" w:fill="auto"/>
          </w:tcPr>
          <w:p w:rsidR="0016401B" w:rsidRPr="0016401B" w:rsidRDefault="0016401B" w:rsidP="0016401B">
            <w:pPr>
              <w:jc w:val="right"/>
              <w:rPr>
                <w:rFonts w:ascii="Arial" w:hAnsi="Arial" w:cs="Arial"/>
                <w:sz w:val="17"/>
                <w:szCs w:val="17"/>
              </w:rPr>
            </w:pPr>
            <w:r w:rsidRPr="0016401B">
              <w:rPr>
                <w:rFonts w:ascii="Arial" w:hAnsi="Arial" w:cs="Arial"/>
                <w:sz w:val="17"/>
                <w:szCs w:val="17"/>
              </w:rPr>
              <w:t xml:space="preserve">736,099,155 </w:t>
            </w:r>
          </w:p>
        </w:tc>
        <w:tc>
          <w:tcPr>
            <w:tcW w:w="2180" w:type="dxa"/>
            <w:tcBorders>
              <w:top w:val="single" w:sz="4" w:space="0" w:color="auto"/>
              <w:left w:val="nil"/>
              <w:bottom w:val="single" w:sz="4" w:space="0" w:color="auto"/>
              <w:right w:val="single" w:sz="4" w:space="0" w:color="auto"/>
            </w:tcBorders>
            <w:shd w:val="clear" w:color="auto" w:fill="auto"/>
          </w:tcPr>
          <w:p w:rsidR="0016401B" w:rsidRPr="0016401B" w:rsidRDefault="0016401B" w:rsidP="0016401B">
            <w:pPr>
              <w:jc w:val="right"/>
              <w:rPr>
                <w:rFonts w:ascii="Arial" w:hAnsi="Arial" w:cs="Arial"/>
                <w:sz w:val="17"/>
                <w:szCs w:val="17"/>
              </w:rPr>
            </w:pPr>
            <w:r w:rsidRPr="0016401B">
              <w:rPr>
                <w:rFonts w:ascii="Arial" w:hAnsi="Arial" w:cs="Arial"/>
                <w:sz w:val="17"/>
                <w:szCs w:val="17"/>
              </w:rPr>
              <w:t xml:space="preserve">687,741,974 </w:t>
            </w:r>
          </w:p>
        </w:tc>
      </w:tr>
      <w:tr w:rsidR="0016401B" w:rsidRPr="002D70DA" w:rsidTr="0016401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6401B" w:rsidRPr="00560A6D" w:rsidRDefault="0016401B" w:rsidP="0016401B">
            <w:pPr>
              <w:ind w:left="497"/>
              <w:rPr>
                <w:rFonts w:ascii="Arial" w:hAnsi="Arial" w:cs="Arial"/>
                <w:sz w:val="17"/>
                <w:szCs w:val="17"/>
              </w:rPr>
            </w:pPr>
            <w:r w:rsidRPr="00C34218">
              <w:rPr>
                <w:rFonts w:ascii="Arial" w:hAnsi="Arial" w:cs="Arial"/>
                <w:sz w:val="17"/>
                <w:szCs w:val="17"/>
              </w:rPr>
              <w:t>Instituto Electoral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16401B" w:rsidRPr="0016401B" w:rsidRDefault="0016401B" w:rsidP="0016401B">
            <w:pPr>
              <w:jc w:val="right"/>
              <w:rPr>
                <w:rFonts w:ascii="Arial" w:hAnsi="Arial" w:cs="Arial"/>
                <w:sz w:val="17"/>
                <w:szCs w:val="17"/>
              </w:rPr>
            </w:pPr>
            <w:r w:rsidRPr="0016401B">
              <w:rPr>
                <w:rFonts w:ascii="Arial" w:hAnsi="Arial" w:cs="Arial"/>
                <w:sz w:val="17"/>
                <w:szCs w:val="17"/>
              </w:rPr>
              <w:t xml:space="preserve">67,379,236 </w:t>
            </w:r>
          </w:p>
        </w:tc>
        <w:tc>
          <w:tcPr>
            <w:tcW w:w="2180" w:type="dxa"/>
            <w:tcBorders>
              <w:top w:val="single" w:sz="4" w:space="0" w:color="auto"/>
              <w:left w:val="nil"/>
              <w:bottom w:val="single" w:sz="4" w:space="0" w:color="auto"/>
              <w:right w:val="single" w:sz="4" w:space="0" w:color="auto"/>
            </w:tcBorders>
            <w:shd w:val="clear" w:color="auto" w:fill="auto"/>
          </w:tcPr>
          <w:p w:rsidR="0016401B" w:rsidRPr="0016401B" w:rsidRDefault="0016401B" w:rsidP="0016401B">
            <w:pPr>
              <w:jc w:val="right"/>
              <w:rPr>
                <w:rFonts w:ascii="Arial" w:hAnsi="Arial" w:cs="Arial"/>
                <w:sz w:val="17"/>
                <w:szCs w:val="17"/>
              </w:rPr>
            </w:pPr>
            <w:r w:rsidRPr="0016401B">
              <w:rPr>
                <w:rFonts w:ascii="Arial" w:hAnsi="Arial" w:cs="Arial"/>
                <w:sz w:val="17"/>
                <w:szCs w:val="17"/>
              </w:rPr>
              <w:t xml:space="preserve">55,396,344 </w:t>
            </w:r>
          </w:p>
        </w:tc>
      </w:tr>
      <w:tr w:rsidR="0016401B" w:rsidRPr="002D70DA" w:rsidTr="0016401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6401B" w:rsidRPr="00C34218" w:rsidRDefault="0016401B" w:rsidP="0016401B">
            <w:pPr>
              <w:ind w:left="497"/>
              <w:rPr>
                <w:rFonts w:ascii="Arial" w:hAnsi="Arial" w:cs="Arial"/>
                <w:sz w:val="17"/>
                <w:szCs w:val="17"/>
              </w:rPr>
            </w:pPr>
            <w:r w:rsidRPr="00C34218">
              <w:rPr>
                <w:rFonts w:ascii="Arial" w:hAnsi="Arial" w:cs="Arial"/>
                <w:sz w:val="17"/>
                <w:szCs w:val="17"/>
              </w:rPr>
              <w:t>Tribunal de Conciliación y Arbitraje</w:t>
            </w:r>
          </w:p>
        </w:tc>
        <w:tc>
          <w:tcPr>
            <w:tcW w:w="2180" w:type="dxa"/>
            <w:tcBorders>
              <w:top w:val="single" w:sz="4" w:space="0" w:color="auto"/>
              <w:left w:val="nil"/>
              <w:bottom w:val="single" w:sz="4" w:space="0" w:color="auto"/>
              <w:right w:val="single" w:sz="4" w:space="0" w:color="auto"/>
            </w:tcBorders>
            <w:shd w:val="clear" w:color="auto" w:fill="auto"/>
          </w:tcPr>
          <w:p w:rsidR="0016401B" w:rsidRPr="0016401B" w:rsidRDefault="0016401B" w:rsidP="0016401B">
            <w:pPr>
              <w:jc w:val="right"/>
              <w:rPr>
                <w:rFonts w:ascii="Arial" w:hAnsi="Arial" w:cs="Arial"/>
                <w:sz w:val="17"/>
                <w:szCs w:val="17"/>
              </w:rPr>
            </w:pPr>
            <w:r w:rsidRPr="0016401B">
              <w:rPr>
                <w:rFonts w:ascii="Arial" w:hAnsi="Arial" w:cs="Arial"/>
                <w:sz w:val="17"/>
                <w:szCs w:val="17"/>
              </w:rPr>
              <w:t xml:space="preserve">14,934,900 </w:t>
            </w:r>
          </w:p>
        </w:tc>
        <w:tc>
          <w:tcPr>
            <w:tcW w:w="2180" w:type="dxa"/>
            <w:tcBorders>
              <w:top w:val="single" w:sz="4" w:space="0" w:color="auto"/>
              <w:left w:val="nil"/>
              <w:bottom w:val="single" w:sz="4" w:space="0" w:color="auto"/>
              <w:right w:val="single" w:sz="4" w:space="0" w:color="auto"/>
            </w:tcBorders>
            <w:shd w:val="clear" w:color="auto" w:fill="auto"/>
          </w:tcPr>
          <w:p w:rsidR="0016401B" w:rsidRPr="0016401B" w:rsidRDefault="0016401B" w:rsidP="0016401B">
            <w:pPr>
              <w:jc w:val="right"/>
              <w:rPr>
                <w:rFonts w:ascii="Arial" w:hAnsi="Arial" w:cs="Arial"/>
                <w:sz w:val="17"/>
                <w:szCs w:val="17"/>
              </w:rPr>
            </w:pPr>
            <w:r w:rsidRPr="0016401B">
              <w:rPr>
                <w:rFonts w:ascii="Arial" w:hAnsi="Arial" w:cs="Arial"/>
                <w:sz w:val="17"/>
                <w:szCs w:val="17"/>
              </w:rPr>
              <w:t xml:space="preserve">13,353,679 </w:t>
            </w:r>
          </w:p>
        </w:tc>
      </w:tr>
      <w:tr w:rsidR="0016401B" w:rsidRPr="002D70DA" w:rsidTr="0016401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6401B" w:rsidRPr="00C34218" w:rsidRDefault="0016401B" w:rsidP="0016401B">
            <w:pPr>
              <w:ind w:left="497"/>
              <w:rPr>
                <w:rFonts w:ascii="Arial" w:hAnsi="Arial" w:cs="Arial"/>
                <w:sz w:val="17"/>
                <w:szCs w:val="17"/>
              </w:rPr>
            </w:pPr>
            <w:r w:rsidRPr="00C34218">
              <w:rPr>
                <w:rFonts w:ascii="Arial" w:hAnsi="Arial" w:cs="Arial"/>
                <w:sz w:val="17"/>
                <w:szCs w:val="17"/>
              </w:rPr>
              <w:t>Tribunal de Justicia Administrativa del Estado de</w:t>
            </w:r>
          </w:p>
          <w:p w:rsidR="0016401B" w:rsidRPr="00560A6D" w:rsidRDefault="0016401B" w:rsidP="0016401B">
            <w:pPr>
              <w:ind w:left="497"/>
              <w:rPr>
                <w:rFonts w:ascii="Arial" w:hAnsi="Arial" w:cs="Arial"/>
                <w:sz w:val="17"/>
                <w:szCs w:val="17"/>
              </w:rPr>
            </w:pPr>
            <w:r w:rsidRPr="00C34218">
              <w:rPr>
                <w:rFonts w:ascii="Arial" w:hAnsi="Arial" w:cs="Arial"/>
                <w:sz w:val="17"/>
                <w:szCs w:val="17"/>
              </w:rPr>
              <w:t>Querétaro</w:t>
            </w:r>
          </w:p>
        </w:tc>
        <w:tc>
          <w:tcPr>
            <w:tcW w:w="2180" w:type="dxa"/>
            <w:tcBorders>
              <w:top w:val="single" w:sz="4" w:space="0" w:color="auto"/>
              <w:left w:val="nil"/>
              <w:bottom w:val="single" w:sz="4" w:space="0" w:color="auto"/>
              <w:right w:val="single" w:sz="4" w:space="0" w:color="auto"/>
            </w:tcBorders>
            <w:shd w:val="clear" w:color="auto" w:fill="auto"/>
          </w:tcPr>
          <w:p w:rsidR="0016401B" w:rsidRPr="0016401B" w:rsidRDefault="0016401B" w:rsidP="0016401B">
            <w:pPr>
              <w:jc w:val="right"/>
              <w:rPr>
                <w:rFonts w:ascii="Arial" w:hAnsi="Arial" w:cs="Arial"/>
                <w:sz w:val="17"/>
                <w:szCs w:val="17"/>
              </w:rPr>
            </w:pPr>
            <w:r w:rsidRPr="0016401B">
              <w:rPr>
                <w:rFonts w:ascii="Arial" w:hAnsi="Arial" w:cs="Arial"/>
                <w:sz w:val="17"/>
                <w:szCs w:val="17"/>
              </w:rPr>
              <w:t xml:space="preserve">38,477,005 </w:t>
            </w:r>
          </w:p>
        </w:tc>
        <w:tc>
          <w:tcPr>
            <w:tcW w:w="2180" w:type="dxa"/>
            <w:tcBorders>
              <w:top w:val="single" w:sz="4" w:space="0" w:color="auto"/>
              <w:left w:val="nil"/>
              <w:bottom w:val="single" w:sz="4" w:space="0" w:color="auto"/>
              <w:right w:val="single" w:sz="4" w:space="0" w:color="auto"/>
            </w:tcBorders>
            <w:shd w:val="clear" w:color="auto" w:fill="auto"/>
          </w:tcPr>
          <w:p w:rsidR="0016401B" w:rsidRPr="0016401B" w:rsidRDefault="0016401B" w:rsidP="0016401B">
            <w:pPr>
              <w:jc w:val="right"/>
              <w:rPr>
                <w:rFonts w:ascii="Arial" w:hAnsi="Arial" w:cs="Arial"/>
                <w:sz w:val="17"/>
                <w:szCs w:val="17"/>
              </w:rPr>
            </w:pPr>
            <w:r w:rsidRPr="0016401B">
              <w:rPr>
                <w:rFonts w:ascii="Arial" w:hAnsi="Arial" w:cs="Arial"/>
                <w:sz w:val="17"/>
                <w:szCs w:val="17"/>
              </w:rPr>
              <w:t xml:space="preserve">36,852,601 </w:t>
            </w:r>
          </w:p>
        </w:tc>
      </w:tr>
      <w:tr w:rsidR="0016401B" w:rsidRPr="002D70DA" w:rsidTr="0016401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6401B" w:rsidRPr="00560A6D" w:rsidRDefault="0016401B" w:rsidP="0016401B">
            <w:pPr>
              <w:ind w:left="497"/>
              <w:rPr>
                <w:rFonts w:ascii="Arial" w:hAnsi="Arial" w:cs="Arial"/>
                <w:sz w:val="17"/>
                <w:szCs w:val="17"/>
              </w:rPr>
            </w:pPr>
            <w:r w:rsidRPr="00C34218">
              <w:rPr>
                <w:rFonts w:ascii="Arial" w:hAnsi="Arial" w:cs="Arial"/>
                <w:sz w:val="17"/>
                <w:szCs w:val="17"/>
              </w:rPr>
              <w:t>Tribunal Electoral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16401B" w:rsidRPr="0016401B" w:rsidRDefault="0016401B" w:rsidP="0016401B">
            <w:pPr>
              <w:jc w:val="right"/>
              <w:rPr>
                <w:rFonts w:ascii="Arial" w:hAnsi="Arial" w:cs="Arial"/>
                <w:sz w:val="17"/>
                <w:szCs w:val="17"/>
              </w:rPr>
            </w:pPr>
            <w:r w:rsidRPr="0016401B">
              <w:rPr>
                <w:rFonts w:ascii="Arial" w:hAnsi="Arial" w:cs="Arial"/>
                <w:sz w:val="17"/>
                <w:szCs w:val="17"/>
              </w:rPr>
              <w:t xml:space="preserve">27,959,183 </w:t>
            </w:r>
          </w:p>
        </w:tc>
        <w:tc>
          <w:tcPr>
            <w:tcW w:w="2180" w:type="dxa"/>
            <w:tcBorders>
              <w:top w:val="single" w:sz="4" w:space="0" w:color="auto"/>
              <w:left w:val="nil"/>
              <w:bottom w:val="single" w:sz="4" w:space="0" w:color="auto"/>
              <w:right w:val="single" w:sz="4" w:space="0" w:color="auto"/>
            </w:tcBorders>
            <w:shd w:val="clear" w:color="auto" w:fill="auto"/>
          </w:tcPr>
          <w:p w:rsidR="0016401B" w:rsidRPr="0016401B" w:rsidRDefault="0016401B" w:rsidP="0016401B">
            <w:pPr>
              <w:jc w:val="right"/>
              <w:rPr>
                <w:rFonts w:ascii="Arial" w:hAnsi="Arial" w:cs="Arial"/>
                <w:sz w:val="17"/>
                <w:szCs w:val="17"/>
              </w:rPr>
            </w:pPr>
            <w:r w:rsidRPr="0016401B">
              <w:rPr>
                <w:rFonts w:ascii="Arial" w:hAnsi="Arial" w:cs="Arial"/>
                <w:sz w:val="17"/>
                <w:szCs w:val="17"/>
              </w:rPr>
              <w:t xml:space="preserve">21,674,423 </w:t>
            </w:r>
          </w:p>
        </w:tc>
      </w:tr>
      <w:tr w:rsidR="0016401B" w:rsidRPr="002D70DA" w:rsidTr="0016401B">
        <w:trPr>
          <w:trHeight w:val="240"/>
          <w:jc w:val="center"/>
        </w:trPr>
        <w:tc>
          <w:tcPr>
            <w:tcW w:w="4900" w:type="dxa"/>
            <w:tcBorders>
              <w:top w:val="nil"/>
              <w:left w:val="nil"/>
              <w:bottom w:val="nil"/>
              <w:right w:val="single" w:sz="4" w:space="0" w:color="auto"/>
            </w:tcBorders>
            <w:shd w:val="clear" w:color="000000" w:fill="FFFFFF"/>
            <w:vAlign w:val="center"/>
            <w:hideMark/>
          </w:tcPr>
          <w:p w:rsidR="0016401B" w:rsidRPr="002D70DA" w:rsidRDefault="0016401B" w:rsidP="0016401B">
            <w:pPr>
              <w:jc w:val="center"/>
              <w:rPr>
                <w:rFonts w:ascii="Arial" w:hAnsi="Arial" w:cs="Arial"/>
                <w:b/>
                <w:bCs/>
                <w:color w:val="000000"/>
                <w:sz w:val="17"/>
                <w:szCs w:val="17"/>
              </w:rPr>
            </w:pPr>
            <w:r w:rsidRPr="002D70DA">
              <w:rPr>
                <w:rFonts w:ascii="Arial" w:hAnsi="Arial" w:cs="Arial"/>
                <w:b/>
                <w:bCs/>
                <w:color w:val="000000"/>
                <w:sz w:val="17"/>
                <w:szCs w:val="17"/>
              </w:rPr>
              <w:lastRenderedPageBreak/>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16401B" w:rsidRPr="008F3F37" w:rsidRDefault="0016401B" w:rsidP="0016401B">
            <w:pPr>
              <w:jc w:val="right"/>
              <w:rPr>
                <w:rFonts w:ascii="Arial" w:hAnsi="Arial" w:cs="Arial"/>
                <w:b/>
                <w:sz w:val="17"/>
                <w:szCs w:val="17"/>
              </w:rPr>
            </w:pPr>
            <w:r w:rsidRPr="0016401B">
              <w:rPr>
                <w:rFonts w:ascii="Arial" w:hAnsi="Arial" w:cs="Arial"/>
                <w:b/>
                <w:sz w:val="17"/>
                <w:szCs w:val="17"/>
              </w:rPr>
              <w:t>4,194,194,629</w:t>
            </w:r>
          </w:p>
        </w:tc>
        <w:tc>
          <w:tcPr>
            <w:tcW w:w="2180" w:type="dxa"/>
            <w:tcBorders>
              <w:top w:val="nil"/>
              <w:left w:val="single" w:sz="4" w:space="0" w:color="auto"/>
              <w:bottom w:val="single" w:sz="4" w:space="0" w:color="auto"/>
              <w:right w:val="single" w:sz="4" w:space="0" w:color="auto"/>
            </w:tcBorders>
            <w:shd w:val="clear" w:color="000000" w:fill="FFFFFF"/>
          </w:tcPr>
          <w:p w:rsidR="0016401B" w:rsidRPr="0016401B" w:rsidRDefault="0016401B" w:rsidP="0016401B">
            <w:pPr>
              <w:jc w:val="right"/>
              <w:rPr>
                <w:rFonts w:ascii="Arial" w:hAnsi="Arial" w:cs="Arial"/>
                <w:b/>
                <w:sz w:val="17"/>
                <w:szCs w:val="17"/>
              </w:rPr>
            </w:pPr>
            <w:r w:rsidRPr="0016401B">
              <w:rPr>
                <w:rFonts w:ascii="Arial" w:hAnsi="Arial" w:cs="Arial"/>
                <w:b/>
                <w:sz w:val="17"/>
                <w:szCs w:val="17"/>
              </w:rPr>
              <w:t xml:space="preserve">3,899,728,847 </w:t>
            </w:r>
          </w:p>
        </w:tc>
      </w:tr>
    </w:tbl>
    <w:p w:rsidR="000337D3" w:rsidRDefault="000337D3" w:rsidP="000337D3">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 xml:space="preserve">El rubro de </w:t>
      </w:r>
      <w:r w:rsidRPr="000337D3">
        <w:rPr>
          <w:rFonts w:ascii="Arial" w:eastAsia="Calibri" w:hAnsi="Arial" w:cs="Arial"/>
          <w:spacing w:val="-1"/>
          <w:sz w:val="17"/>
          <w:szCs w:val="17"/>
        </w:rPr>
        <w:t>Materiales y Suministros</w:t>
      </w:r>
      <w:r>
        <w:rPr>
          <w:rFonts w:ascii="Arial" w:eastAsia="Calibri" w:hAnsi="Arial" w:cs="Arial"/>
          <w:spacing w:val="-1"/>
          <w:sz w:val="17"/>
          <w:szCs w:val="17"/>
        </w:rPr>
        <w:t xml:space="preserve"> está distribuido de la siguiente manera:</w:t>
      </w:r>
    </w:p>
    <w:p w:rsidR="000337D3" w:rsidRPr="002D70DA" w:rsidRDefault="000337D3" w:rsidP="000337D3">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B77808" w:rsidRPr="002D70DA" w:rsidTr="00647B3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77808" w:rsidRPr="002D70DA" w:rsidRDefault="00B77808" w:rsidP="009831D5">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77808" w:rsidRPr="002D70DA" w:rsidRDefault="00FD7D84" w:rsidP="009831D5">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77808" w:rsidRPr="002D70DA" w:rsidRDefault="00FD7D84" w:rsidP="009831D5">
            <w:pPr>
              <w:jc w:val="center"/>
              <w:rPr>
                <w:rFonts w:ascii="Arial" w:hAnsi="Arial" w:cs="Arial"/>
                <w:b/>
                <w:bCs/>
                <w:color w:val="000000"/>
                <w:sz w:val="17"/>
                <w:szCs w:val="17"/>
              </w:rPr>
            </w:pPr>
            <w:r>
              <w:rPr>
                <w:rFonts w:ascii="Arial" w:hAnsi="Arial" w:cs="Arial"/>
                <w:b/>
                <w:bCs/>
                <w:color w:val="000000"/>
                <w:sz w:val="17"/>
                <w:szCs w:val="17"/>
              </w:rPr>
              <w:t>2019</w:t>
            </w:r>
          </w:p>
        </w:tc>
      </w:tr>
      <w:tr w:rsidR="00647B30" w:rsidRPr="002D70DA" w:rsidTr="00647B3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47B30" w:rsidRPr="00C34218" w:rsidRDefault="00647B30" w:rsidP="00647B30">
            <w:pPr>
              <w:rPr>
                <w:rFonts w:ascii="Arial" w:hAnsi="Arial" w:cs="Arial"/>
                <w:b/>
                <w:sz w:val="17"/>
                <w:szCs w:val="17"/>
              </w:rPr>
            </w:pPr>
            <w:r w:rsidRPr="00C34218">
              <w:rPr>
                <w:rFonts w:ascii="Arial" w:hAnsi="Arial" w:cs="Arial"/>
                <w:b/>
                <w:sz w:val="17"/>
                <w:szCs w:val="17"/>
              </w:rPr>
              <w:t>Poder Ejecutivo</w:t>
            </w:r>
          </w:p>
        </w:tc>
        <w:tc>
          <w:tcPr>
            <w:tcW w:w="2180" w:type="dxa"/>
            <w:tcBorders>
              <w:top w:val="single" w:sz="4" w:space="0" w:color="auto"/>
              <w:left w:val="nil"/>
              <w:bottom w:val="single" w:sz="4" w:space="0" w:color="auto"/>
              <w:right w:val="single" w:sz="4" w:space="0" w:color="auto"/>
            </w:tcBorders>
            <w:shd w:val="clear" w:color="auto" w:fill="auto"/>
          </w:tcPr>
          <w:p w:rsidR="00647B30" w:rsidRPr="00647B30" w:rsidRDefault="00647B30" w:rsidP="00647B30">
            <w:pPr>
              <w:jc w:val="right"/>
              <w:rPr>
                <w:rFonts w:ascii="Arial" w:hAnsi="Arial" w:cs="Arial"/>
                <w:b/>
                <w:sz w:val="17"/>
                <w:szCs w:val="17"/>
              </w:rPr>
            </w:pPr>
            <w:r w:rsidRPr="00647B30">
              <w:rPr>
                <w:rFonts w:ascii="Arial" w:hAnsi="Arial" w:cs="Arial"/>
                <w:b/>
                <w:sz w:val="17"/>
                <w:szCs w:val="17"/>
              </w:rPr>
              <w:t xml:space="preserve">205,972,317 </w:t>
            </w:r>
          </w:p>
        </w:tc>
        <w:tc>
          <w:tcPr>
            <w:tcW w:w="2180" w:type="dxa"/>
            <w:tcBorders>
              <w:top w:val="single" w:sz="4" w:space="0" w:color="auto"/>
              <w:left w:val="nil"/>
              <w:bottom w:val="single" w:sz="4" w:space="0" w:color="auto"/>
              <w:right w:val="single" w:sz="4" w:space="0" w:color="auto"/>
            </w:tcBorders>
            <w:shd w:val="clear" w:color="auto" w:fill="auto"/>
          </w:tcPr>
          <w:p w:rsidR="00647B30" w:rsidRPr="00647B30" w:rsidRDefault="00647B30" w:rsidP="00647B30">
            <w:pPr>
              <w:jc w:val="right"/>
              <w:rPr>
                <w:rFonts w:ascii="Arial" w:hAnsi="Arial" w:cs="Arial"/>
                <w:b/>
                <w:sz w:val="17"/>
                <w:szCs w:val="17"/>
              </w:rPr>
            </w:pPr>
            <w:r w:rsidRPr="00647B30">
              <w:rPr>
                <w:rFonts w:ascii="Arial" w:hAnsi="Arial" w:cs="Arial"/>
                <w:b/>
                <w:sz w:val="17"/>
                <w:szCs w:val="17"/>
              </w:rPr>
              <w:t xml:space="preserve">235,544,378 </w:t>
            </w:r>
          </w:p>
        </w:tc>
      </w:tr>
      <w:tr w:rsidR="00647B30" w:rsidRPr="002D70DA" w:rsidTr="00647B3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47B30" w:rsidRPr="00C34218" w:rsidRDefault="00647B30" w:rsidP="00647B30">
            <w:pPr>
              <w:rPr>
                <w:rFonts w:ascii="Arial" w:hAnsi="Arial" w:cs="Arial"/>
                <w:b/>
                <w:sz w:val="17"/>
                <w:szCs w:val="17"/>
              </w:rPr>
            </w:pPr>
            <w:r w:rsidRPr="00C34218">
              <w:rPr>
                <w:rFonts w:ascii="Arial" w:hAnsi="Arial" w:cs="Arial"/>
                <w:b/>
                <w:sz w:val="17"/>
                <w:szCs w:val="17"/>
              </w:rPr>
              <w:t>Poder Judicial</w:t>
            </w:r>
          </w:p>
        </w:tc>
        <w:tc>
          <w:tcPr>
            <w:tcW w:w="2180" w:type="dxa"/>
            <w:tcBorders>
              <w:top w:val="single" w:sz="4" w:space="0" w:color="auto"/>
              <w:left w:val="nil"/>
              <w:bottom w:val="single" w:sz="4" w:space="0" w:color="auto"/>
              <w:right w:val="single" w:sz="4" w:space="0" w:color="auto"/>
            </w:tcBorders>
            <w:shd w:val="clear" w:color="auto" w:fill="auto"/>
          </w:tcPr>
          <w:p w:rsidR="00647B30" w:rsidRPr="00647B30" w:rsidRDefault="00647B30" w:rsidP="00647B30">
            <w:pPr>
              <w:jc w:val="right"/>
              <w:rPr>
                <w:rFonts w:ascii="Arial" w:hAnsi="Arial" w:cs="Arial"/>
                <w:b/>
                <w:sz w:val="17"/>
                <w:szCs w:val="17"/>
              </w:rPr>
            </w:pPr>
            <w:r w:rsidRPr="00647B30">
              <w:rPr>
                <w:rFonts w:ascii="Arial" w:hAnsi="Arial" w:cs="Arial"/>
                <w:b/>
                <w:sz w:val="17"/>
                <w:szCs w:val="17"/>
              </w:rPr>
              <w:t xml:space="preserve">7,416,584 </w:t>
            </w:r>
          </w:p>
        </w:tc>
        <w:tc>
          <w:tcPr>
            <w:tcW w:w="2180" w:type="dxa"/>
            <w:tcBorders>
              <w:top w:val="single" w:sz="4" w:space="0" w:color="auto"/>
              <w:left w:val="nil"/>
              <w:bottom w:val="single" w:sz="4" w:space="0" w:color="auto"/>
              <w:right w:val="single" w:sz="4" w:space="0" w:color="auto"/>
            </w:tcBorders>
            <w:shd w:val="clear" w:color="auto" w:fill="auto"/>
          </w:tcPr>
          <w:p w:rsidR="00647B30" w:rsidRPr="00647B30" w:rsidRDefault="00647B30" w:rsidP="00647B30">
            <w:pPr>
              <w:jc w:val="right"/>
              <w:rPr>
                <w:rFonts w:ascii="Arial" w:hAnsi="Arial" w:cs="Arial"/>
                <w:b/>
                <w:sz w:val="17"/>
                <w:szCs w:val="17"/>
              </w:rPr>
            </w:pPr>
            <w:r w:rsidRPr="00647B30">
              <w:rPr>
                <w:rFonts w:ascii="Arial" w:hAnsi="Arial" w:cs="Arial"/>
                <w:b/>
                <w:sz w:val="17"/>
                <w:szCs w:val="17"/>
              </w:rPr>
              <w:t xml:space="preserve">12,353,378 </w:t>
            </w:r>
          </w:p>
        </w:tc>
      </w:tr>
      <w:tr w:rsidR="00647B30" w:rsidRPr="002D70DA" w:rsidTr="00647B3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47B30" w:rsidRPr="00C34218" w:rsidRDefault="00647B30" w:rsidP="00647B30">
            <w:pPr>
              <w:rPr>
                <w:rFonts w:ascii="Arial" w:hAnsi="Arial" w:cs="Arial"/>
                <w:b/>
                <w:sz w:val="17"/>
                <w:szCs w:val="17"/>
              </w:rPr>
            </w:pPr>
            <w:r w:rsidRPr="00C34218">
              <w:rPr>
                <w:rFonts w:ascii="Arial" w:hAnsi="Arial" w:cs="Arial"/>
                <w:b/>
                <w:sz w:val="17"/>
                <w:szCs w:val="17"/>
              </w:rPr>
              <w:t>Poder Legislativo</w:t>
            </w:r>
          </w:p>
        </w:tc>
        <w:tc>
          <w:tcPr>
            <w:tcW w:w="2180" w:type="dxa"/>
            <w:tcBorders>
              <w:top w:val="single" w:sz="4" w:space="0" w:color="auto"/>
              <w:left w:val="nil"/>
              <w:bottom w:val="single" w:sz="4" w:space="0" w:color="auto"/>
              <w:right w:val="single" w:sz="4" w:space="0" w:color="auto"/>
            </w:tcBorders>
            <w:shd w:val="clear" w:color="auto" w:fill="auto"/>
          </w:tcPr>
          <w:p w:rsidR="00647B30" w:rsidRPr="00647B30" w:rsidRDefault="00647B30" w:rsidP="00647B30">
            <w:pPr>
              <w:jc w:val="right"/>
              <w:rPr>
                <w:rFonts w:ascii="Arial" w:hAnsi="Arial" w:cs="Arial"/>
                <w:b/>
                <w:sz w:val="17"/>
                <w:szCs w:val="17"/>
              </w:rPr>
            </w:pPr>
            <w:r w:rsidRPr="00647B30">
              <w:rPr>
                <w:rFonts w:ascii="Arial" w:hAnsi="Arial" w:cs="Arial"/>
                <w:b/>
                <w:sz w:val="17"/>
                <w:szCs w:val="17"/>
              </w:rPr>
              <w:t xml:space="preserve">10,132,055 </w:t>
            </w:r>
          </w:p>
        </w:tc>
        <w:tc>
          <w:tcPr>
            <w:tcW w:w="2180" w:type="dxa"/>
            <w:tcBorders>
              <w:top w:val="single" w:sz="4" w:space="0" w:color="auto"/>
              <w:left w:val="nil"/>
              <w:bottom w:val="single" w:sz="4" w:space="0" w:color="auto"/>
              <w:right w:val="single" w:sz="4" w:space="0" w:color="auto"/>
            </w:tcBorders>
            <w:shd w:val="clear" w:color="auto" w:fill="auto"/>
          </w:tcPr>
          <w:p w:rsidR="00647B30" w:rsidRPr="00647B30" w:rsidRDefault="00647B30" w:rsidP="00647B30">
            <w:pPr>
              <w:jc w:val="right"/>
              <w:rPr>
                <w:rFonts w:ascii="Arial" w:hAnsi="Arial" w:cs="Arial"/>
                <w:b/>
                <w:sz w:val="17"/>
                <w:szCs w:val="17"/>
              </w:rPr>
            </w:pPr>
            <w:r w:rsidRPr="00647B30">
              <w:rPr>
                <w:rFonts w:ascii="Arial" w:hAnsi="Arial" w:cs="Arial"/>
                <w:b/>
                <w:sz w:val="17"/>
                <w:szCs w:val="17"/>
              </w:rPr>
              <w:t xml:space="preserve">7,963,181 </w:t>
            </w:r>
          </w:p>
        </w:tc>
      </w:tr>
      <w:tr w:rsidR="00647B30" w:rsidRPr="002D70DA" w:rsidTr="00647B3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47B30" w:rsidRPr="00C34218" w:rsidRDefault="00647B30" w:rsidP="00647B30">
            <w:pPr>
              <w:rPr>
                <w:rFonts w:ascii="Arial" w:hAnsi="Arial" w:cs="Arial"/>
                <w:b/>
                <w:sz w:val="17"/>
                <w:szCs w:val="17"/>
              </w:rPr>
            </w:pPr>
            <w:r w:rsidRPr="00C34218">
              <w:rPr>
                <w:rFonts w:ascii="Arial" w:hAnsi="Arial" w:cs="Arial"/>
                <w:b/>
                <w:sz w:val="17"/>
                <w:szCs w:val="17"/>
              </w:rPr>
              <w:t>Órganos Autónomos</w:t>
            </w:r>
          </w:p>
        </w:tc>
        <w:tc>
          <w:tcPr>
            <w:tcW w:w="2180" w:type="dxa"/>
            <w:tcBorders>
              <w:top w:val="single" w:sz="4" w:space="0" w:color="auto"/>
              <w:left w:val="nil"/>
              <w:bottom w:val="single" w:sz="4" w:space="0" w:color="auto"/>
              <w:right w:val="single" w:sz="4" w:space="0" w:color="auto"/>
            </w:tcBorders>
            <w:shd w:val="clear" w:color="auto" w:fill="auto"/>
          </w:tcPr>
          <w:p w:rsidR="00647B30" w:rsidRPr="00647B30" w:rsidRDefault="00647B30" w:rsidP="00647B30">
            <w:pPr>
              <w:jc w:val="right"/>
              <w:rPr>
                <w:rFonts w:ascii="Arial" w:hAnsi="Arial" w:cs="Arial"/>
                <w:b/>
                <w:sz w:val="17"/>
                <w:szCs w:val="17"/>
              </w:rPr>
            </w:pPr>
            <w:r w:rsidRPr="00647B30">
              <w:rPr>
                <w:rFonts w:ascii="Arial" w:hAnsi="Arial" w:cs="Arial"/>
                <w:b/>
                <w:sz w:val="17"/>
                <w:szCs w:val="17"/>
              </w:rPr>
              <w:t xml:space="preserve">61,275,662 </w:t>
            </w:r>
          </w:p>
        </w:tc>
        <w:tc>
          <w:tcPr>
            <w:tcW w:w="2180" w:type="dxa"/>
            <w:tcBorders>
              <w:top w:val="single" w:sz="4" w:space="0" w:color="auto"/>
              <w:left w:val="nil"/>
              <w:bottom w:val="single" w:sz="4" w:space="0" w:color="auto"/>
              <w:right w:val="single" w:sz="4" w:space="0" w:color="auto"/>
            </w:tcBorders>
            <w:shd w:val="clear" w:color="auto" w:fill="auto"/>
          </w:tcPr>
          <w:p w:rsidR="00647B30" w:rsidRPr="00647B30" w:rsidRDefault="00647B30" w:rsidP="00647B30">
            <w:pPr>
              <w:jc w:val="right"/>
              <w:rPr>
                <w:rFonts w:ascii="Arial" w:hAnsi="Arial" w:cs="Arial"/>
                <w:b/>
                <w:sz w:val="17"/>
                <w:szCs w:val="17"/>
              </w:rPr>
            </w:pPr>
            <w:r w:rsidRPr="00647B30">
              <w:rPr>
                <w:rFonts w:ascii="Arial" w:hAnsi="Arial" w:cs="Arial"/>
                <w:b/>
                <w:sz w:val="17"/>
                <w:szCs w:val="17"/>
              </w:rPr>
              <w:t xml:space="preserve">66,293,828 </w:t>
            </w:r>
          </w:p>
        </w:tc>
      </w:tr>
      <w:tr w:rsidR="00647B30" w:rsidRPr="002D70DA" w:rsidTr="00647B3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47B30" w:rsidRPr="00C34218" w:rsidRDefault="00647B30" w:rsidP="00647B30">
            <w:pPr>
              <w:ind w:left="497"/>
              <w:rPr>
                <w:rFonts w:ascii="Arial" w:hAnsi="Arial" w:cs="Arial"/>
                <w:sz w:val="17"/>
                <w:szCs w:val="17"/>
              </w:rPr>
            </w:pPr>
            <w:r w:rsidRPr="00C34218">
              <w:rPr>
                <w:rFonts w:ascii="Arial" w:hAnsi="Arial" w:cs="Arial"/>
                <w:sz w:val="17"/>
                <w:szCs w:val="17"/>
              </w:rPr>
              <w:t>Comisión de Transparencia y Acceso a la</w:t>
            </w:r>
          </w:p>
          <w:p w:rsidR="00647B30" w:rsidRPr="00560A6D" w:rsidRDefault="00647B30" w:rsidP="00647B30">
            <w:pPr>
              <w:ind w:left="497"/>
              <w:rPr>
                <w:rFonts w:ascii="Arial" w:hAnsi="Arial" w:cs="Arial"/>
                <w:sz w:val="17"/>
                <w:szCs w:val="17"/>
              </w:rPr>
            </w:pPr>
            <w:r w:rsidRPr="00C34218">
              <w:rPr>
                <w:rFonts w:ascii="Arial" w:hAnsi="Arial" w:cs="Arial"/>
                <w:sz w:val="17"/>
                <w:szCs w:val="17"/>
              </w:rPr>
              <w:t>Información Pública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647B30" w:rsidRPr="00647B30" w:rsidRDefault="00647B30" w:rsidP="00647B30">
            <w:pPr>
              <w:jc w:val="right"/>
              <w:rPr>
                <w:rFonts w:ascii="Arial" w:hAnsi="Arial" w:cs="Arial"/>
                <w:sz w:val="17"/>
                <w:szCs w:val="17"/>
              </w:rPr>
            </w:pPr>
            <w:r w:rsidRPr="00647B30">
              <w:rPr>
                <w:rFonts w:ascii="Arial" w:hAnsi="Arial" w:cs="Arial"/>
                <w:sz w:val="17"/>
                <w:szCs w:val="17"/>
              </w:rPr>
              <w:t xml:space="preserve">997,540 </w:t>
            </w:r>
          </w:p>
        </w:tc>
        <w:tc>
          <w:tcPr>
            <w:tcW w:w="2180" w:type="dxa"/>
            <w:tcBorders>
              <w:top w:val="single" w:sz="4" w:space="0" w:color="auto"/>
              <w:left w:val="nil"/>
              <w:bottom w:val="single" w:sz="4" w:space="0" w:color="auto"/>
              <w:right w:val="single" w:sz="4" w:space="0" w:color="auto"/>
            </w:tcBorders>
            <w:shd w:val="clear" w:color="auto" w:fill="auto"/>
          </w:tcPr>
          <w:p w:rsidR="00647B30" w:rsidRPr="00647B30" w:rsidRDefault="00647B30" w:rsidP="00647B30">
            <w:pPr>
              <w:jc w:val="right"/>
              <w:rPr>
                <w:rFonts w:ascii="Arial" w:hAnsi="Arial" w:cs="Arial"/>
                <w:sz w:val="17"/>
                <w:szCs w:val="17"/>
              </w:rPr>
            </w:pPr>
            <w:r w:rsidRPr="00647B30">
              <w:rPr>
                <w:rFonts w:ascii="Arial" w:hAnsi="Arial" w:cs="Arial"/>
                <w:sz w:val="17"/>
                <w:szCs w:val="17"/>
              </w:rPr>
              <w:t xml:space="preserve">1,013,299 </w:t>
            </w:r>
          </w:p>
        </w:tc>
      </w:tr>
      <w:tr w:rsidR="00647B30" w:rsidRPr="002D70DA" w:rsidTr="00647B3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47B30" w:rsidRPr="00560A6D" w:rsidRDefault="00647B30" w:rsidP="00647B30">
            <w:pPr>
              <w:ind w:left="497"/>
              <w:rPr>
                <w:rFonts w:ascii="Arial" w:hAnsi="Arial" w:cs="Arial"/>
                <w:sz w:val="17"/>
                <w:szCs w:val="17"/>
              </w:rPr>
            </w:pPr>
            <w:r w:rsidRPr="00C34218">
              <w:rPr>
                <w:rFonts w:ascii="Arial" w:hAnsi="Arial" w:cs="Arial"/>
                <w:sz w:val="17"/>
                <w:szCs w:val="17"/>
              </w:rPr>
              <w:t>Defensoría de los Derechos Humanos de Querétaro</w:t>
            </w:r>
          </w:p>
        </w:tc>
        <w:tc>
          <w:tcPr>
            <w:tcW w:w="2180" w:type="dxa"/>
            <w:tcBorders>
              <w:top w:val="single" w:sz="4" w:space="0" w:color="auto"/>
              <w:left w:val="nil"/>
              <w:bottom w:val="single" w:sz="4" w:space="0" w:color="auto"/>
              <w:right w:val="single" w:sz="4" w:space="0" w:color="auto"/>
            </w:tcBorders>
            <w:shd w:val="clear" w:color="auto" w:fill="auto"/>
          </w:tcPr>
          <w:p w:rsidR="00647B30" w:rsidRPr="00647B30" w:rsidRDefault="00647B30" w:rsidP="00647B30">
            <w:pPr>
              <w:jc w:val="right"/>
              <w:rPr>
                <w:rFonts w:ascii="Arial" w:hAnsi="Arial" w:cs="Arial"/>
                <w:sz w:val="17"/>
                <w:szCs w:val="17"/>
              </w:rPr>
            </w:pPr>
            <w:r w:rsidRPr="00647B30">
              <w:rPr>
                <w:rFonts w:ascii="Arial" w:hAnsi="Arial" w:cs="Arial"/>
                <w:sz w:val="17"/>
                <w:szCs w:val="17"/>
              </w:rPr>
              <w:t xml:space="preserve">1,164,863 </w:t>
            </w:r>
          </w:p>
        </w:tc>
        <w:tc>
          <w:tcPr>
            <w:tcW w:w="2180" w:type="dxa"/>
            <w:tcBorders>
              <w:top w:val="single" w:sz="4" w:space="0" w:color="auto"/>
              <w:left w:val="nil"/>
              <w:bottom w:val="single" w:sz="4" w:space="0" w:color="auto"/>
              <w:right w:val="single" w:sz="4" w:space="0" w:color="auto"/>
            </w:tcBorders>
            <w:shd w:val="clear" w:color="auto" w:fill="auto"/>
          </w:tcPr>
          <w:p w:rsidR="00647B30" w:rsidRPr="00647B30" w:rsidRDefault="00647B30" w:rsidP="00647B30">
            <w:pPr>
              <w:jc w:val="right"/>
              <w:rPr>
                <w:rFonts w:ascii="Arial" w:hAnsi="Arial" w:cs="Arial"/>
                <w:sz w:val="17"/>
                <w:szCs w:val="17"/>
              </w:rPr>
            </w:pPr>
            <w:r w:rsidRPr="00647B30">
              <w:rPr>
                <w:rFonts w:ascii="Arial" w:hAnsi="Arial" w:cs="Arial"/>
                <w:sz w:val="17"/>
                <w:szCs w:val="17"/>
              </w:rPr>
              <w:t xml:space="preserve">1,099,305 </w:t>
            </w:r>
          </w:p>
        </w:tc>
      </w:tr>
      <w:tr w:rsidR="00647B30" w:rsidRPr="002D70DA" w:rsidTr="00647B3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47B30" w:rsidRPr="00C34218" w:rsidRDefault="00647B30" w:rsidP="00647B30">
            <w:pPr>
              <w:ind w:left="497"/>
              <w:rPr>
                <w:rFonts w:ascii="Arial" w:hAnsi="Arial" w:cs="Arial"/>
                <w:sz w:val="17"/>
                <w:szCs w:val="17"/>
              </w:rPr>
            </w:pPr>
            <w:r w:rsidRPr="00C34218">
              <w:rPr>
                <w:rFonts w:ascii="Arial" w:hAnsi="Arial" w:cs="Arial"/>
                <w:sz w:val="17"/>
                <w:szCs w:val="17"/>
              </w:rPr>
              <w:t>Entidad Superior de Fiscalización del Estado de</w:t>
            </w:r>
          </w:p>
          <w:p w:rsidR="00647B30" w:rsidRPr="00C34218" w:rsidRDefault="00647B30" w:rsidP="00647B30">
            <w:pPr>
              <w:ind w:left="497"/>
              <w:rPr>
                <w:rFonts w:ascii="Arial" w:hAnsi="Arial" w:cs="Arial"/>
                <w:sz w:val="17"/>
                <w:szCs w:val="17"/>
              </w:rPr>
            </w:pPr>
            <w:r w:rsidRPr="00C34218">
              <w:rPr>
                <w:rFonts w:ascii="Arial" w:hAnsi="Arial" w:cs="Arial"/>
                <w:sz w:val="17"/>
                <w:szCs w:val="17"/>
              </w:rPr>
              <w:t>Querétaro</w:t>
            </w:r>
          </w:p>
        </w:tc>
        <w:tc>
          <w:tcPr>
            <w:tcW w:w="2180" w:type="dxa"/>
            <w:tcBorders>
              <w:top w:val="single" w:sz="4" w:space="0" w:color="auto"/>
              <w:left w:val="nil"/>
              <w:bottom w:val="single" w:sz="4" w:space="0" w:color="auto"/>
              <w:right w:val="single" w:sz="4" w:space="0" w:color="auto"/>
            </w:tcBorders>
            <w:shd w:val="clear" w:color="auto" w:fill="auto"/>
          </w:tcPr>
          <w:p w:rsidR="00647B30" w:rsidRPr="00647B30" w:rsidRDefault="00647B30" w:rsidP="00647B30">
            <w:pPr>
              <w:jc w:val="right"/>
              <w:rPr>
                <w:rFonts w:ascii="Arial" w:hAnsi="Arial" w:cs="Arial"/>
                <w:sz w:val="17"/>
                <w:szCs w:val="17"/>
              </w:rPr>
            </w:pPr>
            <w:r w:rsidRPr="00647B30">
              <w:rPr>
                <w:rFonts w:ascii="Arial" w:hAnsi="Arial" w:cs="Arial"/>
                <w:sz w:val="17"/>
                <w:szCs w:val="17"/>
              </w:rPr>
              <w:t xml:space="preserve">1,509,178 </w:t>
            </w:r>
          </w:p>
        </w:tc>
        <w:tc>
          <w:tcPr>
            <w:tcW w:w="2180" w:type="dxa"/>
            <w:tcBorders>
              <w:top w:val="single" w:sz="4" w:space="0" w:color="auto"/>
              <w:left w:val="nil"/>
              <w:bottom w:val="single" w:sz="4" w:space="0" w:color="auto"/>
              <w:right w:val="single" w:sz="4" w:space="0" w:color="auto"/>
            </w:tcBorders>
            <w:shd w:val="clear" w:color="auto" w:fill="auto"/>
          </w:tcPr>
          <w:p w:rsidR="00647B30" w:rsidRPr="00647B30" w:rsidRDefault="00647B30" w:rsidP="00647B30">
            <w:pPr>
              <w:jc w:val="right"/>
              <w:rPr>
                <w:rFonts w:ascii="Arial" w:hAnsi="Arial" w:cs="Arial"/>
                <w:sz w:val="17"/>
                <w:szCs w:val="17"/>
              </w:rPr>
            </w:pPr>
            <w:r w:rsidRPr="00647B30">
              <w:rPr>
                <w:rFonts w:ascii="Arial" w:hAnsi="Arial" w:cs="Arial"/>
                <w:sz w:val="17"/>
                <w:szCs w:val="17"/>
              </w:rPr>
              <w:t xml:space="preserve">1,797,996 </w:t>
            </w:r>
          </w:p>
        </w:tc>
      </w:tr>
      <w:tr w:rsidR="00647B30" w:rsidRPr="002D70DA" w:rsidTr="00647B3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47B30" w:rsidRPr="00C34218" w:rsidRDefault="00647B30" w:rsidP="00647B30">
            <w:pPr>
              <w:ind w:left="497"/>
              <w:rPr>
                <w:rFonts w:ascii="Arial" w:hAnsi="Arial" w:cs="Arial"/>
                <w:sz w:val="17"/>
                <w:szCs w:val="17"/>
              </w:rPr>
            </w:pPr>
            <w:r w:rsidRPr="00C34218">
              <w:rPr>
                <w:rFonts w:ascii="Arial" w:hAnsi="Arial" w:cs="Arial"/>
                <w:sz w:val="17"/>
                <w:szCs w:val="17"/>
              </w:rPr>
              <w:t>Fiscalía General del Estado</w:t>
            </w:r>
          </w:p>
        </w:tc>
        <w:tc>
          <w:tcPr>
            <w:tcW w:w="2180" w:type="dxa"/>
            <w:tcBorders>
              <w:top w:val="single" w:sz="4" w:space="0" w:color="auto"/>
              <w:left w:val="nil"/>
              <w:bottom w:val="single" w:sz="4" w:space="0" w:color="auto"/>
              <w:right w:val="single" w:sz="4" w:space="0" w:color="auto"/>
            </w:tcBorders>
            <w:shd w:val="clear" w:color="auto" w:fill="auto"/>
          </w:tcPr>
          <w:p w:rsidR="00647B30" w:rsidRPr="00647B30" w:rsidRDefault="00647B30" w:rsidP="00647B30">
            <w:pPr>
              <w:jc w:val="right"/>
              <w:rPr>
                <w:rFonts w:ascii="Arial" w:hAnsi="Arial" w:cs="Arial"/>
                <w:sz w:val="17"/>
                <w:szCs w:val="17"/>
              </w:rPr>
            </w:pPr>
            <w:r w:rsidRPr="00647B30">
              <w:rPr>
                <w:rFonts w:ascii="Arial" w:hAnsi="Arial" w:cs="Arial"/>
                <w:sz w:val="17"/>
                <w:szCs w:val="17"/>
              </w:rPr>
              <w:t xml:space="preserve">50,499,209 </w:t>
            </w:r>
          </w:p>
        </w:tc>
        <w:tc>
          <w:tcPr>
            <w:tcW w:w="2180" w:type="dxa"/>
            <w:tcBorders>
              <w:top w:val="single" w:sz="4" w:space="0" w:color="auto"/>
              <w:left w:val="nil"/>
              <w:bottom w:val="single" w:sz="4" w:space="0" w:color="auto"/>
              <w:right w:val="single" w:sz="4" w:space="0" w:color="auto"/>
            </w:tcBorders>
            <w:shd w:val="clear" w:color="auto" w:fill="auto"/>
          </w:tcPr>
          <w:p w:rsidR="00647B30" w:rsidRPr="00647B30" w:rsidRDefault="00647B30" w:rsidP="00647B30">
            <w:pPr>
              <w:jc w:val="right"/>
              <w:rPr>
                <w:rFonts w:ascii="Arial" w:hAnsi="Arial" w:cs="Arial"/>
                <w:sz w:val="17"/>
                <w:szCs w:val="17"/>
              </w:rPr>
            </w:pPr>
            <w:r w:rsidRPr="00647B30">
              <w:rPr>
                <w:rFonts w:ascii="Arial" w:hAnsi="Arial" w:cs="Arial"/>
                <w:sz w:val="17"/>
                <w:szCs w:val="17"/>
              </w:rPr>
              <w:t xml:space="preserve">57,699,718 </w:t>
            </w:r>
          </w:p>
        </w:tc>
      </w:tr>
      <w:tr w:rsidR="00647B30" w:rsidRPr="002D70DA" w:rsidTr="00647B3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47B30" w:rsidRPr="00560A6D" w:rsidRDefault="00647B30" w:rsidP="00647B30">
            <w:pPr>
              <w:ind w:left="497"/>
              <w:rPr>
                <w:rFonts w:ascii="Arial" w:hAnsi="Arial" w:cs="Arial"/>
                <w:sz w:val="17"/>
                <w:szCs w:val="17"/>
              </w:rPr>
            </w:pPr>
            <w:r w:rsidRPr="00C34218">
              <w:rPr>
                <w:rFonts w:ascii="Arial" w:hAnsi="Arial" w:cs="Arial"/>
                <w:sz w:val="17"/>
                <w:szCs w:val="17"/>
              </w:rPr>
              <w:t>Instituto Electoral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647B30" w:rsidRPr="00647B30" w:rsidRDefault="00647B30" w:rsidP="00647B30">
            <w:pPr>
              <w:jc w:val="right"/>
              <w:rPr>
                <w:rFonts w:ascii="Arial" w:hAnsi="Arial" w:cs="Arial"/>
                <w:sz w:val="17"/>
                <w:szCs w:val="17"/>
              </w:rPr>
            </w:pPr>
            <w:r w:rsidRPr="00647B30">
              <w:rPr>
                <w:rFonts w:ascii="Arial" w:hAnsi="Arial" w:cs="Arial"/>
                <w:sz w:val="17"/>
                <w:szCs w:val="17"/>
              </w:rPr>
              <w:t xml:space="preserve">2,558,610 </w:t>
            </w:r>
          </w:p>
        </w:tc>
        <w:tc>
          <w:tcPr>
            <w:tcW w:w="2180" w:type="dxa"/>
            <w:tcBorders>
              <w:top w:val="single" w:sz="4" w:space="0" w:color="auto"/>
              <w:left w:val="nil"/>
              <w:bottom w:val="single" w:sz="4" w:space="0" w:color="auto"/>
              <w:right w:val="single" w:sz="4" w:space="0" w:color="auto"/>
            </w:tcBorders>
            <w:shd w:val="clear" w:color="auto" w:fill="auto"/>
          </w:tcPr>
          <w:p w:rsidR="00647B30" w:rsidRPr="00647B30" w:rsidRDefault="00647B30" w:rsidP="00647B30">
            <w:pPr>
              <w:jc w:val="right"/>
              <w:rPr>
                <w:rFonts w:ascii="Arial" w:hAnsi="Arial" w:cs="Arial"/>
                <w:sz w:val="17"/>
                <w:szCs w:val="17"/>
              </w:rPr>
            </w:pPr>
            <w:r w:rsidRPr="00647B30">
              <w:rPr>
                <w:rFonts w:ascii="Arial" w:hAnsi="Arial" w:cs="Arial"/>
                <w:sz w:val="17"/>
                <w:szCs w:val="17"/>
              </w:rPr>
              <w:t xml:space="preserve">1,573,663 </w:t>
            </w:r>
          </w:p>
        </w:tc>
      </w:tr>
      <w:tr w:rsidR="00647B30" w:rsidRPr="002D70DA" w:rsidTr="00647B3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47B30" w:rsidRPr="00C34218" w:rsidRDefault="00647B30" w:rsidP="00647B30">
            <w:pPr>
              <w:ind w:left="497"/>
              <w:rPr>
                <w:rFonts w:ascii="Arial" w:hAnsi="Arial" w:cs="Arial"/>
                <w:sz w:val="17"/>
                <w:szCs w:val="17"/>
              </w:rPr>
            </w:pPr>
            <w:r w:rsidRPr="00C34218">
              <w:rPr>
                <w:rFonts w:ascii="Arial" w:hAnsi="Arial" w:cs="Arial"/>
                <w:sz w:val="17"/>
                <w:szCs w:val="17"/>
              </w:rPr>
              <w:t>Tribunal de Conciliación y Arbitraje</w:t>
            </w:r>
          </w:p>
        </w:tc>
        <w:tc>
          <w:tcPr>
            <w:tcW w:w="2180" w:type="dxa"/>
            <w:tcBorders>
              <w:top w:val="single" w:sz="4" w:space="0" w:color="auto"/>
              <w:left w:val="nil"/>
              <w:bottom w:val="single" w:sz="4" w:space="0" w:color="auto"/>
              <w:right w:val="single" w:sz="4" w:space="0" w:color="auto"/>
            </w:tcBorders>
            <w:shd w:val="clear" w:color="auto" w:fill="auto"/>
          </w:tcPr>
          <w:p w:rsidR="00647B30" w:rsidRPr="00647B30" w:rsidRDefault="00647B30" w:rsidP="00647B30">
            <w:pPr>
              <w:jc w:val="right"/>
              <w:rPr>
                <w:rFonts w:ascii="Arial" w:hAnsi="Arial" w:cs="Arial"/>
                <w:sz w:val="17"/>
                <w:szCs w:val="17"/>
              </w:rPr>
            </w:pPr>
            <w:r w:rsidRPr="00647B30">
              <w:rPr>
                <w:rFonts w:ascii="Arial" w:hAnsi="Arial" w:cs="Arial"/>
                <w:sz w:val="17"/>
                <w:szCs w:val="17"/>
              </w:rPr>
              <w:t xml:space="preserve">2,714,520 </w:t>
            </w:r>
          </w:p>
        </w:tc>
        <w:tc>
          <w:tcPr>
            <w:tcW w:w="2180" w:type="dxa"/>
            <w:tcBorders>
              <w:top w:val="single" w:sz="4" w:space="0" w:color="auto"/>
              <w:left w:val="nil"/>
              <w:bottom w:val="single" w:sz="4" w:space="0" w:color="auto"/>
              <w:right w:val="single" w:sz="4" w:space="0" w:color="auto"/>
            </w:tcBorders>
            <w:shd w:val="clear" w:color="auto" w:fill="auto"/>
          </w:tcPr>
          <w:p w:rsidR="00647B30" w:rsidRPr="00647B30" w:rsidRDefault="00647B30" w:rsidP="00647B30">
            <w:pPr>
              <w:jc w:val="right"/>
              <w:rPr>
                <w:rFonts w:ascii="Arial" w:hAnsi="Arial" w:cs="Arial"/>
                <w:sz w:val="17"/>
                <w:szCs w:val="17"/>
              </w:rPr>
            </w:pPr>
            <w:r w:rsidRPr="00647B30">
              <w:rPr>
                <w:rFonts w:ascii="Arial" w:hAnsi="Arial" w:cs="Arial"/>
                <w:sz w:val="17"/>
                <w:szCs w:val="17"/>
              </w:rPr>
              <w:t xml:space="preserve">1,700,436 </w:t>
            </w:r>
          </w:p>
        </w:tc>
      </w:tr>
      <w:tr w:rsidR="00647B30" w:rsidRPr="002D70DA" w:rsidTr="00647B3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47B30" w:rsidRPr="00C34218" w:rsidRDefault="00647B30" w:rsidP="00647B30">
            <w:pPr>
              <w:ind w:left="497"/>
              <w:rPr>
                <w:rFonts w:ascii="Arial" w:hAnsi="Arial" w:cs="Arial"/>
                <w:sz w:val="17"/>
                <w:szCs w:val="17"/>
              </w:rPr>
            </w:pPr>
            <w:r w:rsidRPr="00C34218">
              <w:rPr>
                <w:rFonts w:ascii="Arial" w:hAnsi="Arial" w:cs="Arial"/>
                <w:sz w:val="17"/>
                <w:szCs w:val="17"/>
              </w:rPr>
              <w:t>Tribunal de Justicia Administrativa del Estado de</w:t>
            </w:r>
          </w:p>
          <w:p w:rsidR="00647B30" w:rsidRPr="00560A6D" w:rsidRDefault="00647B30" w:rsidP="00647B30">
            <w:pPr>
              <w:ind w:left="497"/>
              <w:rPr>
                <w:rFonts w:ascii="Arial" w:hAnsi="Arial" w:cs="Arial"/>
                <w:sz w:val="17"/>
                <w:szCs w:val="17"/>
              </w:rPr>
            </w:pPr>
            <w:r w:rsidRPr="00C34218">
              <w:rPr>
                <w:rFonts w:ascii="Arial" w:hAnsi="Arial" w:cs="Arial"/>
                <w:sz w:val="17"/>
                <w:szCs w:val="17"/>
              </w:rPr>
              <w:t>Querétaro</w:t>
            </w:r>
          </w:p>
        </w:tc>
        <w:tc>
          <w:tcPr>
            <w:tcW w:w="2180" w:type="dxa"/>
            <w:tcBorders>
              <w:top w:val="single" w:sz="4" w:space="0" w:color="auto"/>
              <w:left w:val="nil"/>
              <w:bottom w:val="single" w:sz="4" w:space="0" w:color="auto"/>
              <w:right w:val="single" w:sz="4" w:space="0" w:color="auto"/>
            </w:tcBorders>
            <w:shd w:val="clear" w:color="auto" w:fill="auto"/>
          </w:tcPr>
          <w:p w:rsidR="00647B30" w:rsidRPr="00647B30" w:rsidRDefault="00647B30" w:rsidP="00647B30">
            <w:pPr>
              <w:jc w:val="right"/>
              <w:rPr>
                <w:rFonts w:ascii="Arial" w:hAnsi="Arial" w:cs="Arial"/>
                <w:sz w:val="17"/>
                <w:szCs w:val="17"/>
              </w:rPr>
            </w:pPr>
            <w:r w:rsidRPr="00647B30">
              <w:rPr>
                <w:rFonts w:ascii="Arial" w:hAnsi="Arial" w:cs="Arial"/>
                <w:sz w:val="17"/>
                <w:szCs w:val="17"/>
              </w:rPr>
              <w:t xml:space="preserve">1,265,663 </w:t>
            </w:r>
          </w:p>
        </w:tc>
        <w:tc>
          <w:tcPr>
            <w:tcW w:w="2180" w:type="dxa"/>
            <w:tcBorders>
              <w:top w:val="single" w:sz="4" w:space="0" w:color="auto"/>
              <w:left w:val="nil"/>
              <w:bottom w:val="single" w:sz="4" w:space="0" w:color="auto"/>
              <w:right w:val="single" w:sz="4" w:space="0" w:color="auto"/>
            </w:tcBorders>
            <w:shd w:val="clear" w:color="auto" w:fill="auto"/>
          </w:tcPr>
          <w:p w:rsidR="00647B30" w:rsidRPr="00647B30" w:rsidRDefault="00647B30" w:rsidP="00647B30">
            <w:pPr>
              <w:jc w:val="right"/>
              <w:rPr>
                <w:rFonts w:ascii="Arial" w:hAnsi="Arial" w:cs="Arial"/>
                <w:sz w:val="17"/>
                <w:szCs w:val="17"/>
              </w:rPr>
            </w:pPr>
            <w:r w:rsidRPr="00647B30">
              <w:rPr>
                <w:rFonts w:ascii="Arial" w:hAnsi="Arial" w:cs="Arial"/>
                <w:sz w:val="17"/>
                <w:szCs w:val="17"/>
              </w:rPr>
              <w:t xml:space="preserve">1,242,832 </w:t>
            </w:r>
          </w:p>
        </w:tc>
      </w:tr>
      <w:tr w:rsidR="00647B30" w:rsidRPr="002D70DA" w:rsidTr="00647B3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47B30" w:rsidRPr="00560A6D" w:rsidRDefault="00647B30" w:rsidP="00647B30">
            <w:pPr>
              <w:ind w:left="497"/>
              <w:rPr>
                <w:rFonts w:ascii="Arial" w:hAnsi="Arial" w:cs="Arial"/>
                <w:sz w:val="17"/>
                <w:szCs w:val="17"/>
              </w:rPr>
            </w:pPr>
            <w:r w:rsidRPr="00C34218">
              <w:rPr>
                <w:rFonts w:ascii="Arial" w:hAnsi="Arial" w:cs="Arial"/>
                <w:sz w:val="17"/>
                <w:szCs w:val="17"/>
              </w:rPr>
              <w:t>Tribunal Electoral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647B30" w:rsidRPr="00647B30" w:rsidRDefault="00647B30" w:rsidP="00647B30">
            <w:pPr>
              <w:jc w:val="right"/>
              <w:rPr>
                <w:rFonts w:ascii="Arial" w:hAnsi="Arial" w:cs="Arial"/>
                <w:sz w:val="17"/>
                <w:szCs w:val="17"/>
              </w:rPr>
            </w:pPr>
            <w:r w:rsidRPr="00647B30">
              <w:rPr>
                <w:rFonts w:ascii="Arial" w:hAnsi="Arial" w:cs="Arial"/>
                <w:sz w:val="17"/>
                <w:szCs w:val="17"/>
              </w:rPr>
              <w:t xml:space="preserve">566,079 </w:t>
            </w:r>
          </w:p>
        </w:tc>
        <w:tc>
          <w:tcPr>
            <w:tcW w:w="2180" w:type="dxa"/>
            <w:tcBorders>
              <w:top w:val="single" w:sz="4" w:space="0" w:color="auto"/>
              <w:left w:val="nil"/>
              <w:bottom w:val="single" w:sz="4" w:space="0" w:color="auto"/>
              <w:right w:val="single" w:sz="4" w:space="0" w:color="auto"/>
            </w:tcBorders>
            <w:shd w:val="clear" w:color="auto" w:fill="auto"/>
          </w:tcPr>
          <w:p w:rsidR="00647B30" w:rsidRPr="00647B30" w:rsidRDefault="00647B30" w:rsidP="00647B30">
            <w:pPr>
              <w:jc w:val="right"/>
              <w:rPr>
                <w:rFonts w:ascii="Arial" w:hAnsi="Arial" w:cs="Arial"/>
                <w:sz w:val="17"/>
                <w:szCs w:val="17"/>
              </w:rPr>
            </w:pPr>
            <w:r w:rsidRPr="00647B30">
              <w:rPr>
                <w:rFonts w:ascii="Arial" w:hAnsi="Arial" w:cs="Arial"/>
                <w:sz w:val="17"/>
                <w:szCs w:val="17"/>
              </w:rPr>
              <w:t xml:space="preserve">166,580 </w:t>
            </w:r>
          </w:p>
        </w:tc>
      </w:tr>
      <w:tr w:rsidR="00647B30" w:rsidRPr="002D70DA" w:rsidTr="00647B30">
        <w:trPr>
          <w:trHeight w:val="240"/>
          <w:jc w:val="center"/>
        </w:trPr>
        <w:tc>
          <w:tcPr>
            <w:tcW w:w="4900" w:type="dxa"/>
            <w:tcBorders>
              <w:top w:val="nil"/>
              <w:left w:val="nil"/>
              <w:bottom w:val="nil"/>
              <w:right w:val="single" w:sz="4" w:space="0" w:color="auto"/>
            </w:tcBorders>
            <w:shd w:val="clear" w:color="000000" w:fill="FFFFFF"/>
            <w:vAlign w:val="center"/>
            <w:hideMark/>
          </w:tcPr>
          <w:p w:rsidR="00647B30" w:rsidRPr="002D70DA" w:rsidRDefault="00647B30" w:rsidP="00647B30">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647B30" w:rsidRPr="008F3F37" w:rsidRDefault="00647B30" w:rsidP="00647B30">
            <w:pPr>
              <w:jc w:val="right"/>
              <w:rPr>
                <w:rFonts w:ascii="Arial" w:hAnsi="Arial" w:cs="Arial"/>
                <w:b/>
                <w:sz w:val="17"/>
                <w:szCs w:val="17"/>
              </w:rPr>
            </w:pPr>
            <w:r w:rsidRPr="00647B30">
              <w:rPr>
                <w:rFonts w:ascii="Arial" w:hAnsi="Arial" w:cs="Arial"/>
                <w:b/>
                <w:sz w:val="17"/>
                <w:szCs w:val="17"/>
              </w:rPr>
              <w:t>284,796,618</w:t>
            </w:r>
          </w:p>
        </w:tc>
        <w:tc>
          <w:tcPr>
            <w:tcW w:w="2180" w:type="dxa"/>
            <w:tcBorders>
              <w:top w:val="nil"/>
              <w:left w:val="single" w:sz="4" w:space="0" w:color="auto"/>
              <w:bottom w:val="single" w:sz="4" w:space="0" w:color="auto"/>
              <w:right w:val="single" w:sz="4" w:space="0" w:color="auto"/>
            </w:tcBorders>
            <w:shd w:val="clear" w:color="000000" w:fill="FFFFFF"/>
          </w:tcPr>
          <w:p w:rsidR="00647B30" w:rsidRPr="00647B30" w:rsidRDefault="00647B30" w:rsidP="00647B30">
            <w:pPr>
              <w:jc w:val="right"/>
              <w:rPr>
                <w:rFonts w:ascii="Arial" w:hAnsi="Arial" w:cs="Arial"/>
                <w:b/>
                <w:sz w:val="17"/>
                <w:szCs w:val="17"/>
              </w:rPr>
            </w:pPr>
            <w:r w:rsidRPr="00647B30">
              <w:rPr>
                <w:rFonts w:ascii="Arial" w:hAnsi="Arial" w:cs="Arial"/>
                <w:b/>
                <w:sz w:val="17"/>
                <w:szCs w:val="17"/>
              </w:rPr>
              <w:t xml:space="preserve">322,154,765 </w:t>
            </w:r>
          </w:p>
        </w:tc>
      </w:tr>
    </w:tbl>
    <w:p w:rsidR="002165BD" w:rsidRDefault="002165BD" w:rsidP="002165BD">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 xml:space="preserve">El rubro de </w:t>
      </w:r>
      <w:r w:rsidRPr="002165BD">
        <w:rPr>
          <w:rFonts w:ascii="Arial" w:eastAsia="Calibri" w:hAnsi="Arial" w:cs="Arial"/>
          <w:spacing w:val="-1"/>
          <w:sz w:val="17"/>
          <w:szCs w:val="17"/>
        </w:rPr>
        <w:t>Servicios Generales</w:t>
      </w:r>
      <w:r>
        <w:rPr>
          <w:rFonts w:ascii="Arial" w:eastAsia="Calibri" w:hAnsi="Arial" w:cs="Arial"/>
          <w:spacing w:val="-1"/>
          <w:sz w:val="17"/>
          <w:szCs w:val="17"/>
        </w:rPr>
        <w:t xml:space="preserve"> está distribuido de la siguiente manera:</w:t>
      </w:r>
    </w:p>
    <w:p w:rsidR="002165BD" w:rsidRPr="002D70DA" w:rsidRDefault="002165BD" w:rsidP="002165BD">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B77808" w:rsidRPr="002D70DA" w:rsidTr="009E305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77808" w:rsidRPr="002D70DA" w:rsidRDefault="00B77808" w:rsidP="009831D5">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77808" w:rsidRPr="002D70DA" w:rsidRDefault="00FD7D84" w:rsidP="009831D5">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77808" w:rsidRPr="002D70DA" w:rsidRDefault="00FD7D84" w:rsidP="009831D5">
            <w:pPr>
              <w:jc w:val="center"/>
              <w:rPr>
                <w:rFonts w:ascii="Arial" w:hAnsi="Arial" w:cs="Arial"/>
                <w:b/>
                <w:bCs/>
                <w:color w:val="000000"/>
                <w:sz w:val="17"/>
                <w:szCs w:val="17"/>
              </w:rPr>
            </w:pPr>
            <w:r>
              <w:rPr>
                <w:rFonts w:ascii="Arial" w:hAnsi="Arial" w:cs="Arial"/>
                <w:b/>
                <w:bCs/>
                <w:color w:val="000000"/>
                <w:sz w:val="17"/>
                <w:szCs w:val="17"/>
              </w:rPr>
              <w:t>2019</w:t>
            </w:r>
          </w:p>
        </w:tc>
      </w:tr>
      <w:tr w:rsidR="009E305B" w:rsidRPr="002D70DA" w:rsidTr="009E305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E305B" w:rsidRPr="00C34218" w:rsidRDefault="009E305B" w:rsidP="009E305B">
            <w:pPr>
              <w:rPr>
                <w:rFonts w:ascii="Arial" w:hAnsi="Arial" w:cs="Arial"/>
                <w:b/>
                <w:sz w:val="17"/>
                <w:szCs w:val="17"/>
              </w:rPr>
            </w:pPr>
            <w:r w:rsidRPr="00C34218">
              <w:rPr>
                <w:rFonts w:ascii="Arial" w:hAnsi="Arial" w:cs="Arial"/>
                <w:b/>
                <w:sz w:val="17"/>
                <w:szCs w:val="17"/>
              </w:rPr>
              <w:t>Poder Ejecutivo</w:t>
            </w:r>
          </w:p>
        </w:tc>
        <w:tc>
          <w:tcPr>
            <w:tcW w:w="2180" w:type="dxa"/>
            <w:tcBorders>
              <w:top w:val="single" w:sz="4" w:space="0" w:color="auto"/>
              <w:left w:val="nil"/>
              <w:bottom w:val="single" w:sz="4" w:space="0" w:color="auto"/>
              <w:right w:val="single" w:sz="4" w:space="0" w:color="auto"/>
            </w:tcBorders>
            <w:shd w:val="clear" w:color="auto" w:fill="auto"/>
          </w:tcPr>
          <w:p w:rsidR="009E305B" w:rsidRPr="009E305B" w:rsidRDefault="009E305B" w:rsidP="009E305B">
            <w:pPr>
              <w:jc w:val="right"/>
              <w:rPr>
                <w:rFonts w:ascii="Arial" w:hAnsi="Arial" w:cs="Arial"/>
                <w:b/>
                <w:sz w:val="17"/>
                <w:szCs w:val="17"/>
              </w:rPr>
            </w:pPr>
            <w:r w:rsidRPr="009E305B">
              <w:rPr>
                <w:rFonts w:ascii="Arial" w:hAnsi="Arial" w:cs="Arial"/>
                <w:b/>
                <w:sz w:val="17"/>
                <w:szCs w:val="17"/>
              </w:rPr>
              <w:t xml:space="preserve">1,174,287,352 </w:t>
            </w:r>
          </w:p>
        </w:tc>
        <w:tc>
          <w:tcPr>
            <w:tcW w:w="2180" w:type="dxa"/>
            <w:tcBorders>
              <w:top w:val="single" w:sz="4" w:space="0" w:color="auto"/>
              <w:left w:val="nil"/>
              <w:bottom w:val="single" w:sz="4" w:space="0" w:color="auto"/>
              <w:right w:val="single" w:sz="4" w:space="0" w:color="auto"/>
            </w:tcBorders>
            <w:shd w:val="clear" w:color="auto" w:fill="auto"/>
          </w:tcPr>
          <w:p w:rsidR="009E305B" w:rsidRPr="009E305B" w:rsidRDefault="009E305B" w:rsidP="009E305B">
            <w:pPr>
              <w:jc w:val="right"/>
              <w:rPr>
                <w:rFonts w:ascii="Arial" w:hAnsi="Arial" w:cs="Arial"/>
                <w:b/>
                <w:sz w:val="17"/>
                <w:szCs w:val="17"/>
              </w:rPr>
            </w:pPr>
            <w:r w:rsidRPr="009E305B">
              <w:rPr>
                <w:rFonts w:ascii="Arial" w:hAnsi="Arial" w:cs="Arial"/>
                <w:b/>
                <w:sz w:val="17"/>
                <w:szCs w:val="17"/>
              </w:rPr>
              <w:t xml:space="preserve">1,281,195,072 </w:t>
            </w:r>
          </w:p>
        </w:tc>
      </w:tr>
      <w:tr w:rsidR="009E305B" w:rsidRPr="002D70DA" w:rsidTr="009E305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E305B" w:rsidRPr="00C34218" w:rsidRDefault="009E305B" w:rsidP="009E305B">
            <w:pPr>
              <w:rPr>
                <w:rFonts w:ascii="Arial" w:hAnsi="Arial" w:cs="Arial"/>
                <w:b/>
                <w:sz w:val="17"/>
                <w:szCs w:val="17"/>
              </w:rPr>
            </w:pPr>
            <w:r w:rsidRPr="00C34218">
              <w:rPr>
                <w:rFonts w:ascii="Arial" w:hAnsi="Arial" w:cs="Arial"/>
                <w:b/>
                <w:sz w:val="17"/>
                <w:szCs w:val="17"/>
              </w:rPr>
              <w:t>Poder Judicial</w:t>
            </w:r>
          </w:p>
        </w:tc>
        <w:tc>
          <w:tcPr>
            <w:tcW w:w="2180" w:type="dxa"/>
            <w:tcBorders>
              <w:top w:val="single" w:sz="4" w:space="0" w:color="auto"/>
              <w:left w:val="nil"/>
              <w:bottom w:val="single" w:sz="4" w:space="0" w:color="auto"/>
              <w:right w:val="single" w:sz="4" w:space="0" w:color="auto"/>
            </w:tcBorders>
            <w:shd w:val="clear" w:color="auto" w:fill="auto"/>
          </w:tcPr>
          <w:p w:rsidR="009E305B" w:rsidRPr="009E305B" w:rsidRDefault="009E305B" w:rsidP="009E305B">
            <w:pPr>
              <w:jc w:val="right"/>
              <w:rPr>
                <w:rFonts w:ascii="Arial" w:hAnsi="Arial" w:cs="Arial"/>
                <w:b/>
                <w:sz w:val="17"/>
                <w:szCs w:val="17"/>
              </w:rPr>
            </w:pPr>
            <w:r w:rsidRPr="009E305B">
              <w:rPr>
                <w:rFonts w:ascii="Arial" w:hAnsi="Arial" w:cs="Arial"/>
                <w:b/>
                <w:sz w:val="17"/>
                <w:szCs w:val="17"/>
              </w:rPr>
              <w:t xml:space="preserve">55,267,655 </w:t>
            </w:r>
          </w:p>
        </w:tc>
        <w:tc>
          <w:tcPr>
            <w:tcW w:w="2180" w:type="dxa"/>
            <w:tcBorders>
              <w:top w:val="single" w:sz="4" w:space="0" w:color="auto"/>
              <w:left w:val="nil"/>
              <w:bottom w:val="single" w:sz="4" w:space="0" w:color="auto"/>
              <w:right w:val="single" w:sz="4" w:space="0" w:color="auto"/>
            </w:tcBorders>
            <w:shd w:val="clear" w:color="auto" w:fill="auto"/>
          </w:tcPr>
          <w:p w:rsidR="009E305B" w:rsidRPr="009E305B" w:rsidRDefault="009E305B" w:rsidP="009E305B">
            <w:pPr>
              <w:jc w:val="right"/>
              <w:rPr>
                <w:rFonts w:ascii="Arial" w:hAnsi="Arial" w:cs="Arial"/>
                <w:b/>
                <w:sz w:val="17"/>
                <w:szCs w:val="17"/>
              </w:rPr>
            </w:pPr>
            <w:r w:rsidRPr="009E305B">
              <w:rPr>
                <w:rFonts w:ascii="Arial" w:hAnsi="Arial" w:cs="Arial"/>
                <w:b/>
                <w:sz w:val="17"/>
                <w:szCs w:val="17"/>
              </w:rPr>
              <w:t xml:space="preserve">45,237,203 </w:t>
            </w:r>
          </w:p>
        </w:tc>
      </w:tr>
      <w:tr w:rsidR="009E305B" w:rsidRPr="002D70DA" w:rsidTr="009E305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E305B" w:rsidRPr="00C34218" w:rsidRDefault="009E305B" w:rsidP="009E305B">
            <w:pPr>
              <w:rPr>
                <w:rFonts w:ascii="Arial" w:hAnsi="Arial" w:cs="Arial"/>
                <w:b/>
                <w:sz w:val="17"/>
                <w:szCs w:val="17"/>
              </w:rPr>
            </w:pPr>
            <w:r w:rsidRPr="00C34218">
              <w:rPr>
                <w:rFonts w:ascii="Arial" w:hAnsi="Arial" w:cs="Arial"/>
                <w:b/>
                <w:sz w:val="17"/>
                <w:szCs w:val="17"/>
              </w:rPr>
              <w:t>Poder Legislativo</w:t>
            </w:r>
          </w:p>
        </w:tc>
        <w:tc>
          <w:tcPr>
            <w:tcW w:w="2180" w:type="dxa"/>
            <w:tcBorders>
              <w:top w:val="single" w:sz="4" w:space="0" w:color="auto"/>
              <w:left w:val="nil"/>
              <w:bottom w:val="single" w:sz="4" w:space="0" w:color="auto"/>
              <w:right w:val="single" w:sz="4" w:space="0" w:color="auto"/>
            </w:tcBorders>
            <w:shd w:val="clear" w:color="auto" w:fill="auto"/>
          </w:tcPr>
          <w:p w:rsidR="009E305B" w:rsidRPr="009E305B" w:rsidRDefault="009E305B" w:rsidP="009E305B">
            <w:pPr>
              <w:jc w:val="right"/>
              <w:rPr>
                <w:rFonts w:ascii="Arial" w:hAnsi="Arial" w:cs="Arial"/>
                <w:b/>
                <w:sz w:val="17"/>
                <w:szCs w:val="17"/>
              </w:rPr>
            </w:pPr>
            <w:r w:rsidRPr="009E305B">
              <w:rPr>
                <w:rFonts w:ascii="Arial" w:hAnsi="Arial" w:cs="Arial"/>
                <w:b/>
                <w:sz w:val="17"/>
                <w:szCs w:val="17"/>
              </w:rPr>
              <w:t xml:space="preserve">43,145,247 </w:t>
            </w:r>
          </w:p>
        </w:tc>
        <w:tc>
          <w:tcPr>
            <w:tcW w:w="2180" w:type="dxa"/>
            <w:tcBorders>
              <w:top w:val="single" w:sz="4" w:space="0" w:color="auto"/>
              <w:left w:val="nil"/>
              <w:bottom w:val="single" w:sz="4" w:space="0" w:color="auto"/>
              <w:right w:val="single" w:sz="4" w:space="0" w:color="auto"/>
            </w:tcBorders>
            <w:shd w:val="clear" w:color="auto" w:fill="auto"/>
          </w:tcPr>
          <w:p w:rsidR="009E305B" w:rsidRPr="009E305B" w:rsidRDefault="009E305B" w:rsidP="009E305B">
            <w:pPr>
              <w:jc w:val="right"/>
              <w:rPr>
                <w:rFonts w:ascii="Arial" w:hAnsi="Arial" w:cs="Arial"/>
                <w:b/>
                <w:sz w:val="17"/>
                <w:szCs w:val="17"/>
              </w:rPr>
            </w:pPr>
            <w:r w:rsidRPr="009E305B">
              <w:rPr>
                <w:rFonts w:ascii="Arial" w:hAnsi="Arial" w:cs="Arial"/>
                <w:b/>
                <w:sz w:val="17"/>
                <w:szCs w:val="17"/>
              </w:rPr>
              <w:t xml:space="preserve">35,316,046 </w:t>
            </w:r>
          </w:p>
        </w:tc>
      </w:tr>
      <w:tr w:rsidR="009E305B" w:rsidRPr="002D70DA" w:rsidTr="009E305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E305B" w:rsidRPr="00C34218" w:rsidRDefault="009E305B" w:rsidP="009E305B">
            <w:pPr>
              <w:rPr>
                <w:rFonts w:ascii="Arial" w:hAnsi="Arial" w:cs="Arial"/>
                <w:b/>
                <w:sz w:val="17"/>
                <w:szCs w:val="17"/>
              </w:rPr>
            </w:pPr>
            <w:r w:rsidRPr="00C34218">
              <w:rPr>
                <w:rFonts w:ascii="Arial" w:hAnsi="Arial" w:cs="Arial"/>
                <w:b/>
                <w:sz w:val="17"/>
                <w:szCs w:val="17"/>
              </w:rPr>
              <w:t>Órganos Autónomos</w:t>
            </w:r>
          </w:p>
        </w:tc>
        <w:tc>
          <w:tcPr>
            <w:tcW w:w="2180" w:type="dxa"/>
            <w:tcBorders>
              <w:top w:val="single" w:sz="4" w:space="0" w:color="auto"/>
              <w:left w:val="nil"/>
              <w:bottom w:val="single" w:sz="4" w:space="0" w:color="auto"/>
              <w:right w:val="single" w:sz="4" w:space="0" w:color="auto"/>
            </w:tcBorders>
            <w:shd w:val="clear" w:color="auto" w:fill="auto"/>
          </w:tcPr>
          <w:p w:rsidR="009E305B" w:rsidRPr="009E305B" w:rsidRDefault="009E305B" w:rsidP="009E305B">
            <w:pPr>
              <w:jc w:val="right"/>
              <w:rPr>
                <w:rFonts w:ascii="Arial" w:hAnsi="Arial" w:cs="Arial"/>
                <w:b/>
                <w:sz w:val="17"/>
                <w:szCs w:val="17"/>
              </w:rPr>
            </w:pPr>
            <w:r w:rsidRPr="009E305B">
              <w:rPr>
                <w:rFonts w:ascii="Arial" w:hAnsi="Arial" w:cs="Arial"/>
                <w:b/>
                <w:sz w:val="17"/>
                <w:szCs w:val="17"/>
              </w:rPr>
              <w:t xml:space="preserve">129,423,001 </w:t>
            </w:r>
          </w:p>
        </w:tc>
        <w:tc>
          <w:tcPr>
            <w:tcW w:w="2180" w:type="dxa"/>
            <w:tcBorders>
              <w:top w:val="single" w:sz="4" w:space="0" w:color="auto"/>
              <w:left w:val="nil"/>
              <w:bottom w:val="single" w:sz="4" w:space="0" w:color="auto"/>
              <w:right w:val="single" w:sz="4" w:space="0" w:color="auto"/>
            </w:tcBorders>
            <w:shd w:val="clear" w:color="auto" w:fill="auto"/>
          </w:tcPr>
          <w:p w:rsidR="009E305B" w:rsidRPr="009E305B" w:rsidRDefault="009E305B" w:rsidP="009E305B">
            <w:pPr>
              <w:jc w:val="right"/>
              <w:rPr>
                <w:rFonts w:ascii="Arial" w:hAnsi="Arial" w:cs="Arial"/>
                <w:b/>
                <w:sz w:val="17"/>
                <w:szCs w:val="17"/>
              </w:rPr>
            </w:pPr>
            <w:r w:rsidRPr="009E305B">
              <w:rPr>
                <w:rFonts w:ascii="Arial" w:hAnsi="Arial" w:cs="Arial"/>
                <w:b/>
                <w:sz w:val="17"/>
                <w:szCs w:val="17"/>
              </w:rPr>
              <w:t xml:space="preserve">126,275,517 </w:t>
            </w:r>
          </w:p>
        </w:tc>
      </w:tr>
      <w:tr w:rsidR="009E305B" w:rsidRPr="002D70DA" w:rsidTr="009E305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E305B" w:rsidRPr="00C34218" w:rsidRDefault="009E305B" w:rsidP="009E305B">
            <w:pPr>
              <w:ind w:left="497"/>
              <w:rPr>
                <w:rFonts w:ascii="Arial" w:hAnsi="Arial" w:cs="Arial"/>
                <w:sz w:val="17"/>
                <w:szCs w:val="17"/>
              </w:rPr>
            </w:pPr>
            <w:r w:rsidRPr="00C34218">
              <w:rPr>
                <w:rFonts w:ascii="Arial" w:hAnsi="Arial" w:cs="Arial"/>
                <w:sz w:val="17"/>
                <w:szCs w:val="17"/>
              </w:rPr>
              <w:t>Comisión de Transparencia y Acceso a la</w:t>
            </w:r>
          </w:p>
          <w:p w:rsidR="009E305B" w:rsidRPr="00560A6D" w:rsidRDefault="009E305B" w:rsidP="009E305B">
            <w:pPr>
              <w:ind w:left="497"/>
              <w:rPr>
                <w:rFonts w:ascii="Arial" w:hAnsi="Arial" w:cs="Arial"/>
                <w:sz w:val="17"/>
                <w:szCs w:val="17"/>
              </w:rPr>
            </w:pPr>
            <w:r w:rsidRPr="00C34218">
              <w:rPr>
                <w:rFonts w:ascii="Arial" w:hAnsi="Arial" w:cs="Arial"/>
                <w:sz w:val="17"/>
                <w:szCs w:val="17"/>
              </w:rPr>
              <w:t>Información Pública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9E305B" w:rsidRPr="009E305B" w:rsidRDefault="009E305B" w:rsidP="009E305B">
            <w:pPr>
              <w:jc w:val="right"/>
              <w:rPr>
                <w:rFonts w:ascii="Arial" w:hAnsi="Arial" w:cs="Arial"/>
                <w:sz w:val="17"/>
                <w:szCs w:val="17"/>
              </w:rPr>
            </w:pPr>
            <w:r w:rsidRPr="009E305B">
              <w:rPr>
                <w:rFonts w:ascii="Arial" w:hAnsi="Arial" w:cs="Arial"/>
                <w:sz w:val="17"/>
                <w:szCs w:val="17"/>
              </w:rPr>
              <w:t xml:space="preserve">2,407,028 </w:t>
            </w:r>
          </w:p>
        </w:tc>
        <w:tc>
          <w:tcPr>
            <w:tcW w:w="2180" w:type="dxa"/>
            <w:tcBorders>
              <w:top w:val="single" w:sz="4" w:space="0" w:color="auto"/>
              <w:left w:val="nil"/>
              <w:bottom w:val="single" w:sz="4" w:space="0" w:color="auto"/>
              <w:right w:val="single" w:sz="4" w:space="0" w:color="auto"/>
            </w:tcBorders>
            <w:shd w:val="clear" w:color="auto" w:fill="auto"/>
          </w:tcPr>
          <w:p w:rsidR="009E305B" w:rsidRPr="009E305B" w:rsidRDefault="009E305B" w:rsidP="009E305B">
            <w:pPr>
              <w:jc w:val="right"/>
              <w:rPr>
                <w:rFonts w:ascii="Arial" w:hAnsi="Arial" w:cs="Arial"/>
                <w:sz w:val="17"/>
                <w:szCs w:val="17"/>
              </w:rPr>
            </w:pPr>
            <w:r w:rsidRPr="009E305B">
              <w:rPr>
                <w:rFonts w:ascii="Arial" w:hAnsi="Arial" w:cs="Arial"/>
                <w:sz w:val="17"/>
                <w:szCs w:val="17"/>
              </w:rPr>
              <w:t xml:space="preserve">2,666,412 </w:t>
            </w:r>
          </w:p>
        </w:tc>
      </w:tr>
      <w:tr w:rsidR="009E305B" w:rsidRPr="002D70DA" w:rsidTr="009E305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E305B" w:rsidRPr="00560A6D" w:rsidRDefault="009E305B" w:rsidP="009E305B">
            <w:pPr>
              <w:ind w:left="497"/>
              <w:rPr>
                <w:rFonts w:ascii="Arial" w:hAnsi="Arial" w:cs="Arial"/>
                <w:sz w:val="17"/>
                <w:szCs w:val="17"/>
              </w:rPr>
            </w:pPr>
            <w:r w:rsidRPr="00C34218">
              <w:rPr>
                <w:rFonts w:ascii="Arial" w:hAnsi="Arial" w:cs="Arial"/>
                <w:sz w:val="17"/>
                <w:szCs w:val="17"/>
              </w:rPr>
              <w:t>Defensoría de los Derechos Humanos de Querétaro</w:t>
            </w:r>
          </w:p>
        </w:tc>
        <w:tc>
          <w:tcPr>
            <w:tcW w:w="2180" w:type="dxa"/>
            <w:tcBorders>
              <w:top w:val="single" w:sz="4" w:space="0" w:color="auto"/>
              <w:left w:val="nil"/>
              <w:bottom w:val="single" w:sz="4" w:space="0" w:color="auto"/>
              <w:right w:val="single" w:sz="4" w:space="0" w:color="auto"/>
            </w:tcBorders>
            <w:shd w:val="clear" w:color="auto" w:fill="auto"/>
          </w:tcPr>
          <w:p w:rsidR="009E305B" w:rsidRPr="009E305B" w:rsidRDefault="009E305B" w:rsidP="009E305B">
            <w:pPr>
              <w:jc w:val="right"/>
              <w:rPr>
                <w:rFonts w:ascii="Arial" w:hAnsi="Arial" w:cs="Arial"/>
                <w:sz w:val="17"/>
                <w:szCs w:val="17"/>
              </w:rPr>
            </w:pPr>
            <w:r w:rsidRPr="009E305B">
              <w:rPr>
                <w:rFonts w:ascii="Arial" w:hAnsi="Arial" w:cs="Arial"/>
                <w:sz w:val="17"/>
                <w:szCs w:val="17"/>
              </w:rPr>
              <w:t xml:space="preserve">5,417,038 </w:t>
            </w:r>
          </w:p>
        </w:tc>
        <w:tc>
          <w:tcPr>
            <w:tcW w:w="2180" w:type="dxa"/>
            <w:tcBorders>
              <w:top w:val="single" w:sz="4" w:space="0" w:color="auto"/>
              <w:left w:val="nil"/>
              <w:bottom w:val="single" w:sz="4" w:space="0" w:color="auto"/>
              <w:right w:val="single" w:sz="4" w:space="0" w:color="auto"/>
            </w:tcBorders>
            <w:shd w:val="clear" w:color="auto" w:fill="auto"/>
          </w:tcPr>
          <w:p w:rsidR="009E305B" w:rsidRPr="009E305B" w:rsidRDefault="009E305B" w:rsidP="009E305B">
            <w:pPr>
              <w:jc w:val="right"/>
              <w:rPr>
                <w:rFonts w:ascii="Arial" w:hAnsi="Arial" w:cs="Arial"/>
                <w:sz w:val="17"/>
                <w:szCs w:val="17"/>
              </w:rPr>
            </w:pPr>
            <w:r w:rsidRPr="009E305B">
              <w:rPr>
                <w:rFonts w:ascii="Arial" w:hAnsi="Arial" w:cs="Arial"/>
                <w:sz w:val="17"/>
                <w:szCs w:val="17"/>
              </w:rPr>
              <w:t xml:space="preserve">5,275,570 </w:t>
            </w:r>
          </w:p>
        </w:tc>
      </w:tr>
      <w:tr w:rsidR="009E305B" w:rsidRPr="002D70DA" w:rsidTr="009E305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E305B" w:rsidRPr="00C34218" w:rsidRDefault="009E305B" w:rsidP="009E305B">
            <w:pPr>
              <w:ind w:left="497"/>
              <w:rPr>
                <w:rFonts w:ascii="Arial" w:hAnsi="Arial" w:cs="Arial"/>
                <w:sz w:val="17"/>
                <w:szCs w:val="17"/>
              </w:rPr>
            </w:pPr>
            <w:r w:rsidRPr="00C34218">
              <w:rPr>
                <w:rFonts w:ascii="Arial" w:hAnsi="Arial" w:cs="Arial"/>
                <w:sz w:val="17"/>
                <w:szCs w:val="17"/>
              </w:rPr>
              <w:t>Entidad Superior de Fiscalización del Estado de</w:t>
            </w:r>
          </w:p>
          <w:p w:rsidR="009E305B" w:rsidRPr="00C34218" w:rsidRDefault="009E305B" w:rsidP="009E305B">
            <w:pPr>
              <w:ind w:left="497"/>
              <w:rPr>
                <w:rFonts w:ascii="Arial" w:hAnsi="Arial" w:cs="Arial"/>
                <w:sz w:val="17"/>
                <w:szCs w:val="17"/>
              </w:rPr>
            </w:pPr>
            <w:r w:rsidRPr="00C34218">
              <w:rPr>
                <w:rFonts w:ascii="Arial" w:hAnsi="Arial" w:cs="Arial"/>
                <w:sz w:val="17"/>
                <w:szCs w:val="17"/>
              </w:rPr>
              <w:t>Querétaro</w:t>
            </w:r>
          </w:p>
        </w:tc>
        <w:tc>
          <w:tcPr>
            <w:tcW w:w="2180" w:type="dxa"/>
            <w:tcBorders>
              <w:top w:val="single" w:sz="4" w:space="0" w:color="auto"/>
              <w:left w:val="nil"/>
              <w:bottom w:val="single" w:sz="4" w:space="0" w:color="auto"/>
              <w:right w:val="single" w:sz="4" w:space="0" w:color="auto"/>
            </w:tcBorders>
            <w:shd w:val="clear" w:color="auto" w:fill="auto"/>
          </w:tcPr>
          <w:p w:rsidR="009E305B" w:rsidRPr="009E305B" w:rsidRDefault="009E305B" w:rsidP="009E305B">
            <w:pPr>
              <w:jc w:val="right"/>
              <w:rPr>
                <w:rFonts w:ascii="Arial" w:hAnsi="Arial" w:cs="Arial"/>
                <w:sz w:val="17"/>
                <w:szCs w:val="17"/>
              </w:rPr>
            </w:pPr>
            <w:r w:rsidRPr="009E305B">
              <w:rPr>
                <w:rFonts w:ascii="Arial" w:hAnsi="Arial" w:cs="Arial"/>
                <w:sz w:val="17"/>
                <w:szCs w:val="17"/>
              </w:rPr>
              <w:t xml:space="preserve">12,300,420 </w:t>
            </w:r>
          </w:p>
        </w:tc>
        <w:tc>
          <w:tcPr>
            <w:tcW w:w="2180" w:type="dxa"/>
            <w:tcBorders>
              <w:top w:val="single" w:sz="4" w:space="0" w:color="auto"/>
              <w:left w:val="nil"/>
              <w:bottom w:val="single" w:sz="4" w:space="0" w:color="auto"/>
              <w:right w:val="single" w:sz="4" w:space="0" w:color="auto"/>
            </w:tcBorders>
            <w:shd w:val="clear" w:color="auto" w:fill="auto"/>
          </w:tcPr>
          <w:p w:rsidR="009E305B" w:rsidRPr="009E305B" w:rsidRDefault="009E305B" w:rsidP="009E305B">
            <w:pPr>
              <w:jc w:val="right"/>
              <w:rPr>
                <w:rFonts w:ascii="Arial" w:hAnsi="Arial" w:cs="Arial"/>
                <w:sz w:val="17"/>
                <w:szCs w:val="17"/>
              </w:rPr>
            </w:pPr>
            <w:r w:rsidRPr="009E305B">
              <w:rPr>
                <w:rFonts w:ascii="Arial" w:hAnsi="Arial" w:cs="Arial"/>
                <w:sz w:val="17"/>
                <w:szCs w:val="17"/>
              </w:rPr>
              <w:t xml:space="preserve">15,375,579 </w:t>
            </w:r>
          </w:p>
        </w:tc>
      </w:tr>
      <w:tr w:rsidR="009E305B" w:rsidRPr="002D70DA" w:rsidTr="009E305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E305B" w:rsidRPr="00C34218" w:rsidRDefault="009E305B" w:rsidP="009E305B">
            <w:pPr>
              <w:ind w:left="497"/>
              <w:rPr>
                <w:rFonts w:ascii="Arial" w:hAnsi="Arial" w:cs="Arial"/>
                <w:sz w:val="17"/>
                <w:szCs w:val="17"/>
              </w:rPr>
            </w:pPr>
            <w:r w:rsidRPr="00C34218">
              <w:rPr>
                <w:rFonts w:ascii="Arial" w:hAnsi="Arial" w:cs="Arial"/>
                <w:sz w:val="17"/>
                <w:szCs w:val="17"/>
              </w:rPr>
              <w:t>Fiscalía General del Estado</w:t>
            </w:r>
          </w:p>
        </w:tc>
        <w:tc>
          <w:tcPr>
            <w:tcW w:w="2180" w:type="dxa"/>
            <w:tcBorders>
              <w:top w:val="single" w:sz="4" w:space="0" w:color="auto"/>
              <w:left w:val="nil"/>
              <w:bottom w:val="single" w:sz="4" w:space="0" w:color="auto"/>
              <w:right w:val="single" w:sz="4" w:space="0" w:color="auto"/>
            </w:tcBorders>
            <w:shd w:val="clear" w:color="auto" w:fill="auto"/>
          </w:tcPr>
          <w:p w:rsidR="009E305B" w:rsidRPr="009E305B" w:rsidRDefault="009E305B" w:rsidP="009E305B">
            <w:pPr>
              <w:jc w:val="right"/>
              <w:rPr>
                <w:rFonts w:ascii="Arial" w:hAnsi="Arial" w:cs="Arial"/>
                <w:sz w:val="17"/>
                <w:szCs w:val="17"/>
              </w:rPr>
            </w:pPr>
            <w:r w:rsidRPr="009E305B">
              <w:rPr>
                <w:rFonts w:ascii="Arial" w:hAnsi="Arial" w:cs="Arial"/>
                <w:sz w:val="17"/>
                <w:szCs w:val="17"/>
              </w:rPr>
              <w:t xml:space="preserve">86,817,762 </w:t>
            </w:r>
          </w:p>
        </w:tc>
        <w:tc>
          <w:tcPr>
            <w:tcW w:w="2180" w:type="dxa"/>
            <w:tcBorders>
              <w:top w:val="single" w:sz="4" w:space="0" w:color="auto"/>
              <w:left w:val="nil"/>
              <w:bottom w:val="single" w:sz="4" w:space="0" w:color="auto"/>
              <w:right w:val="single" w:sz="4" w:space="0" w:color="auto"/>
            </w:tcBorders>
            <w:shd w:val="clear" w:color="auto" w:fill="auto"/>
          </w:tcPr>
          <w:p w:rsidR="009E305B" w:rsidRPr="009E305B" w:rsidRDefault="009E305B" w:rsidP="009E305B">
            <w:pPr>
              <w:jc w:val="right"/>
              <w:rPr>
                <w:rFonts w:ascii="Arial" w:hAnsi="Arial" w:cs="Arial"/>
                <w:sz w:val="17"/>
                <w:szCs w:val="17"/>
              </w:rPr>
            </w:pPr>
            <w:r w:rsidRPr="009E305B">
              <w:rPr>
                <w:rFonts w:ascii="Arial" w:hAnsi="Arial" w:cs="Arial"/>
                <w:sz w:val="17"/>
                <w:szCs w:val="17"/>
              </w:rPr>
              <w:t xml:space="preserve">82,506,230 </w:t>
            </w:r>
          </w:p>
        </w:tc>
      </w:tr>
      <w:tr w:rsidR="009E305B" w:rsidRPr="002D70DA" w:rsidTr="009E305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E305B" w:rsidRPr="00560A6D" w:rsidRDefault="009E305B" w:rsidP="009E305B">
            <w:pPr>
              <w:ind w:left="497"/>
              <w:rPr>
                <w:rFonts w:ascii="Arial" w:hAnsi="Arial" w:cs="Arial"/>
                <w:sz w:val="17"/>
                <w:szCs w:val="17"/>
              </w:rPr>
            </w:pPr>
            <w:r w:rsidRPr="00C34218">
              <w:rPr>
                <w:rFonts w:ascii="Arial" w:hAnsi="Arial" w:cs="Arial"/>
                <w:sz w:val="17"/>
                <w:szCs w:val="17"/>
              </w:rPr>
              <w:t>Instituto Electoral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9E305B" w:rsidRPr="009E305B" w:rsidRDefault="009E305B" w:rsidP="009E305B">
            <w:pPr>
              <w:jc w:val="right"/>
              <w:rPr>
                <w:rFonts w:ascii="Arial" w:hAnsi="Arial" w:cs="Arial"/>
                <w:sz w:val="17"/>
                <w:szCs w:val="17"/>
              </w:rPr>
            </w:pPr>
            <w:r w:rsidRPr="009E305B">
              <w:rPr>
                <w:rFonts w:ascii="Arial" w:hAnsi="Arial" w:cs="Arial"/>
                <w:sz w:val="17"/>
                <w:szCs w:val="17"/>
              </w:rPr>
              <w:t xml:space="preserve">11,847,447 </w:t>
            </w:r>
          </w:p>
        </w:tc>
        <w:tc>
          <w:tcPr>
            <w:tcW w:w="2180" w:type="dxa"/>
            <w:tcBorders>
              <w:top w:val="single" w:sz="4" w:space="0" w:color="auto"/>
              <w:left w:val="nil"/>
              <w:bottom w:val="single" w:sz="4" w:space="0" w:color="auto"/>
              <w:right w:val="single" w:sz="4" w:space="0" w:color="auto"/>
            </w:tcBorders>
            <w:shd w:val="clear" w:color="auto" w:fill="auto"/>
          </w:tcPr>
          <w:p w:rsidR="009E305B" w:rsidRPr="009E305B" w:rsidRDefault="009E305B" w:rsidP="009E305B">
            <w:pPr>
              <w:jc w:val="right"/>
              <w:rPr>
                <w:rFonts w:ascii="Arial" w:hAnsi="Arial" w:cs="Arial"/>
                <w:sz w:val="17"/>
                <w:szCs w:val="17"/>
              </w:rPr>
            </w:pPr>
            <w:r w:rsidRPr="009E305B">
              <w:rPr>
                <w:rFonts w:ascii="Arial" w:hAnsi="Arial" w:cs="Arial"/>
                <w:sz w:val="17"/>
                <w:szCs w:val="17"/>
              </w:rPr>
              <w:t xml:space="preserve">9,318,830 </w:t>
            </w:r>
          </w:p>
        </w:tc>
      </w:tr>
      <w:tr w:rsidR="009E305B" w:rsidRPr="002D70DA" w:rsidTr="009E305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E305B" w:rsidRPr="00C34218" w:rsidRDefault="009E305B" w:rsidP="009E305B">
            <w:pPr>
              <w:ind w:left="497"/>
              <w:rPr>
                <w:rFonts w:ascii="Arial" w:hAnsi="Arial" w:cs="Arial"/>
                <w:sz w:val="17"/>
                <w:szCs w:val="17"/>
              </w:rPr>
            </w:pPr>
            <w:r w:rsidRPr="00C34218">
              <w:rPr>
                <w:rFonts w:ascii="Arial" w:hAnsi="Arial" w:cs="Arial"/>
                <w:sz w:val="17"/>
                <w:szCs w:val="17"/>
              </w:rPr>
              <w:t>Tribunal de Conciliación y Arbitraje</w:t>
            </w:r>
          </w:p>
        </w:tc>
        <w:tc>
          <w:tcPr>
            <w:tcW w:w="2180" w:type="dxa"/>
            <w:tcBorders>
              <w:top w:val="single" w:sz="4" w:space="0" w:color="auto"/>
              <w:left w:val="nil"/>
              <w:bottom w:val="single" w:sz="4" w:space="0" w:color="auto"/>
              <w:right w:val="single" w:sz="4" w:space="0" w:color="auto"/>
            </w:tcBorders>
            <w:shd w:val="clear" w:color="auto" w:fill="auto"/>
          </w:tcPr>
          <w:p w:rsidR="009E305B" w:rsidRPr="009E305B" w:rsidRDefault="009E305B" w:rsidP="009E305B">
            <w:pPr>
              <w:jc w:val="right"/>
              <w:rPr>
                <w:rFonts w:ascii="Arial" w:hAnsi="Arial" w:cs="Arial"/>
                <w:sz w:val="17"/>
                <w:szCs w:val="17"/>
              </w:rPr>
            </w:pPr>
            <w:r w:rsidRPr="009E305B">
              <w:rPr>
                <w:rFonts w:ascii="Arial" w:hAnsi="Arial" w:cs="Arial"/>
                <w:sz w:val="17"/>
                <w:szCs w:val="17"/>
              </w:rPr>
              <w:t xml:space="preserve">3,286,341 </w:t>
            </w:r>
          </w:p>
        </w:tc>
        <w:tc>
          <w:tcPr>
            <w:tcW w:w="2180" w:type="dxa"/>
            <w:tcBorders>
              <w:top w:val="single" w:sz="4" w:space="0" w:color="auto"/>
              <w:left w:val="nil"/>
              <w:bottom w:val="single" w:sz="4" w:space="0" w:color="auto"/>
              <w:right w:val="single" w:sz="4" w:space="0" w:color="auto"/>
            </w:tcBorders>
            <w:shd w:val="clear" w:color="auto" w:fill="auto"/>
          </w:tcPr>
          <w:p w:rsidR="009E305B" w:rsidRPr="009E305B" w:rsidRDefault="009E305B" w:rsidP="009E305B">
            <w:pPr>
              <w:jc w:val="right"/>
              <w:rPr>
                <w:rFonts w:ascii="Arial" w:hAnsi="Arial" w:cs="Arial"/>
                <w:sz w:val="17"/>
                <w:szCs w:val="17"/>
              </w:rPr>
            </w:pPr>
            <w:r w:rsidRPr="009E305B">
              <w:rPr>
                <w:rFonts w:ascii="Arial" w:hAnsi="Arial" w:cs="Arial"/>
                <w:sz w:val="17"/>
                <w:szCs w:val="17"/>
              </w:rPr>
              <w:t xml:space="preserve">4,681,112 </w:t>
            </w:r>
          </w:p>
        </w:tc>
      </w:tr>
      <w:tr w:rsidR="009E305B" w:rsidRPr="002D70DA" w:rsidTr="009E305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E305B" w:rsidRPr="00C34218" w:rsidRDefault="009E305B" w:rsidP="009E305B">
            <w:pPr>
              <w:ind w:left="497"/>
              <w:rPr>
                <w:rFonts w:ascii="Arial" w:hAnsi="Arial" w:cs="Arial"/>
                <w:sz w:val="17"/>
                <w:szCs w:val="17"/>
              </w:rPr>
            </w:pPr>
            <w:r w:rsidRPr="00C34218">
              <w:rPr>
                <w:rFonts w:ascii="Arial" w:hAnsi="Arial" w:cs="Arial"/>
                <w:sz w:val="17"/>
                <w:szCs w:val="17"/>
              </w:rPr>
              <w:t>Tribunal de Justicia Administrativa del Estado de</w:t>
            </w:r>
          </w:p>
          <w:p w:rsidR="009E305B" w:rsidRPr="00560A6D" w:rsidRDefault="009E305B" w:rsidP="009E305B">
            <w:pPr>
              <w:ind w:left="497"/>
              <w:rPr>
                <w:rFonts w:ascii="Arial" w:hAnsi="Arial" w:cs="Arial"/>
                <w:sz w:val="17"/>
                <w:szCs w:val="17"/>
              </w:rPr>
            </w:pPr>
            <w:r w:rsidRPr="00C34218">
              <w:rPr>
                <w:rFonts w:ascii="Arial" w:hAnsi="Arial" w:cs="Arial"/>
                <w:sz w:val="17"/>
                <w:szCs w:val="17"/>
              </w:rPr>
              <w:t>Querétaro</w:t>
            </w:r>
          </w:p>
        </w:tc>
        <w:tc>
          <w:tcPr>
            <w:tcW w:w="2180" w:type="dxa"/>
            <w:tcBorders>
              <w:top w:val="single" w:sz="4" w:space="0" w:color="auto"/>
              <w:left w:val="nil"/>
              <w:bottom w:val="single" w:sz="4" w:space="0" w:color="auto"/>
              <w:right w:val="single" w:sz="4" w:space="0" w:color="auto"/>
            </w:tcBorders>
            <w:shd w:val="clear" w:color="auto" w:fill="auto"/>
          </w:tcPr>
          <w:p w:rsidR="009E305B" w:rsidRPr="009E305B" w:rsidRDefault="009E305B" w:rsidP="009E305B">
            <w:pPr>
              <w:jc w:val="right"/>
              <w:rPr>
                <w:rFonts w:ascii="Arial" w:hAnsi="Arial" w:cs="Arial"/>
                <w:sz w:val="17"/>
                <w:szCs w:val="17"/>
              </w:rPr>
            </w:pPr>
            <w:r w:rsidRPr="009E305B">
              <w:rPr>
                <w:rFonts w:ascii="Arial" w:hAnsi="Arial" w:cs="Arial"/>
                <w:sz w:val="17"/>
                <w:szCs w:val="17"/>
              </w:rPr>
              <w:t xml:space="preserve">4,046,904 </w:t>
            </w:r>
          </w:p>
        </w:tc>
        <w:tc>
          <w:tcPr>
            <w:tcW w:w="2180" w:type="dxa"/>
            <w:tcBorders>
              <w:top w:val="single" w:sz="4" w:space="0" w:color="auto"/>
              <w:left w:val="nil"/>
              <w:bottom w:val="single" w:sz="4" w:space="0" w:color="auto"/>
              <w:right w:val="single" w:sz="4" w:space="0" w:color="auto"/>
            </w:tcBorders>
            <w:shd w:val="clear" w:color="auto" w:fill="auto"/>
          </w:tcPr>
          <w:p w:rsidR="009E305B" w:rsidRPr="009E305B" w:rsidRDefault="009E305B" w:rsidP="009E305B">
            <w:pPr>
              <w:jc w:val="right"/>
              <w:rPr>
                <w:rFonts w:ascii="Arial" w:hAnsi="Arial" w:cs="Arial"/>
                <w:sz w:val="17"/>
                <w:szCs w:val="17"/>
              </w:rPr>
            </w:pPr>
            <w:r w:rsidRPr="009E305B">
              <w:rPr>
                <w:rFonts w:ascii="Arial" w:hAnsi="Arial" w:cs="Arial"/>
                <w:sz w:val="17"/>
                <w:szCs w:val="17"/>
              </w:rPr>
              <w:t xml:space="preserve">4,181,129 </w:t>
            </w:r>
          </w:p>
        </w:tc>
      </w:tr>
      <w:tr w:rsidR="009E305B" w:rsidRPr="002D70DA" w:rsidTr="009E305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E305B" w:rsidRPr="00560A6D" w:rsidRDefault="009E305B" w:rsidP="009E305B">
            <w:pPr>
              <w:ind w:left="497"/>
              <w:rPr>
                <w:rFonts w:ascii="Arial" w:hAnsi="Arial" w:cs="Arial"/>
                <w:sz w:val="17"/>
                <w:szCs w:val="17"/>
              </w:rPr>
            </w:pPr>
            <w:r w:rsidRPr="00C34218">
              <w:rPr>
                <w:rFonts w:ascii="Arial" w:hAnsi="Arial" w:cs="Arial"/>
                <w:sz w:val="17"/>
                <w:szCs w:val="17"/>
              </w:rPr>
              <w:lastRenderedPageBreak/>
              <w:t>Tribunal Electoral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9E305B" w:rsidRPr="009E305B" w:rsidRDefault="009E305B" w:rsidP="009E305B">
            <w:pPr>
              <w:jc w:val="right"/>
              <w:rPr>
                <w:rFonts w:ascii="Arial" w:hAnsi="Arial" w:cs="Arial"/>
                <w:sz w:val="17"/>
                <w:szCs w:val="17"/>
              </w:rPr>
            </w:pPr>
            <w:r w:rsidRPr="009E305B">
              <w:rPr>
                <w:rFonts w:ascii="Arial" w:hAnsi="Arial" w:cs="Arial"/>
                <w:sz w:val="17"/>
                <w:szCs w:val="17"/>
              </w:rPr>
              <w:t xml:space="preserve">3,300,062 </w:t>
            </w:r>
          </w:p>
        </w:tc>
        <w:tc>
          <w:tcPr>
            <w:tcW w:w="2180" w:type="dxa"/>
            <w:tcBorders>
              <w:top w:val="single" w:sz="4" w:space="0" w:color="auto"/>
              <w:left w:val="nil"/>
              <w:bottom w:val="single" w:sz="4" w:space="0" w:color="auto"/>
              <w:right w:val="single" w:sz="4" w:space="0" w:color="auto"/>
            </w:tcBorders>
            <w:shd w:val="clear" w:color="auto" w:fill="auto"/>
          </w:tcPr>
          <w:p w:rsidR="009E305B" w:rsidRPr="009E305B" w:rsidRDefault="009E305B" w:rsidP="009E305B">
            <w:pPr>
              <w:jc w:val="right"/>
              <w:rPr>
                <w:rFonts w:ascii="Arial" w:hAnsi="Arial" w:cs="Arial"/>
                <w:sz w:val="17"/>
                <w:szCs w:val="17"/>
              </w:rPr>
            </w:pPr>
            <w:r w:rsidRPr="009E305B">
              <w:rPr>
                <w:rFonts w:ascii="Arial" w:hAnsi="Arial" w:cs="Arial"/>
                <w:sz w:val="17"/>
                <w:szCs w:val="17"/>
              </w:rPr>
              <w:t xml:space="preserve">2,270,655 </w:t>
            </w:r>
          </w:p>
        </w:tc>
      </w:tr>
      <w:tr w:rsidR="009E305B" w:rsidRPr="002D70DA" w:rsidTr="009E305B">
        <w:trPr>
          <w:trHeight w:val="240"/>
          <w:jc w:val="center"/>
        </w:trPr>
        <w:tc>
          <w:tcPr>
            <w:tcW w:w="4900" w:type="dxa"/>
            <w:tcBorders>
              <w:top w:val="nil"/>
              <w:left w:val="nil"/>
              <w:bottom w:val="nil"/>
              <w:right w:val="single" w:sz="4" w:space="0" w:color="auto"/>
            </w:tcBorders>
            <w:shd w:val="clear" w:color="000000" w:fill="FFFFFF"/>
            <w:vAlign w:val="center"/>
            <w:hideMark/>
          </w:tcPr>
          <w:p w:rsidR="009E305B" w:rsidRPr="002D70DA" w:rsidRDefault="009E305B" w:rsidP="009E305B">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9E305B" w:rsidRPr="009E305B" w:rsidRDefault="009E305B" w:rsidP="009E305B">
            <w:pPr>
              <w:jc w:val="right"/>
              <w:rPr>
                <w:rFonts w:ascii="Arial" w:hAnsi="Arial" w:cs="Arial"/>
                <w:b/>
                <w:sz w:val="17"/>
                <w:szCs w:val="17"/>
              </w:rPr>
            </w:pPr>
            <w:r w:rsidRPr="009E305B">
              <w:rPr>
                <w:rFonts w:ascii="Arial" w:hAnsi="Arial" w:cs="Arial"/>
                <w:b/>
                <w:sz w:val="17"/>
                <w:szCs w:val="17"/>
              </w:rPr>
              <w:t xml:space="preserve">1,402,123,256 </w:t>
            </w:r>
          </w:p>
        </w:tc>
        <w:tc>
          <w:tcPr>
            <w:tcW w:w="2180" w:type="dxa"/>
            <w:tcBorders>
              <w:top w:val="nil"/>
              <w:left w:val="single" w:sz="4" w:space="0" w:color="auto"/>
              <w:bottom w:val="single" w:sz="4" w:space="0" w:color="auto"/>
              <w:right w:val="single" w:sz="4" w:space="0" w:color="auto"/>
            </w:tcBorders>
            <w:shd w:val="clear" w:color="000000" w:fill="FFFFFF"/>
          </w:tcPr>
          <w:p w:rsidR="009E305B" w:rsidRPr="009E305B" w:rsidRDefault="009E305B" w:rsidP="009E305B">
            <w:pPr>
              <w:jc w:val="right"/>
              <w:rPr>
                <w:rFonts w:ascii="Arial" w:hAnsi="Arial" w:cs="Arial"/>
                <w:b/>
                <w:sz w:val="17"/>
                <w:szCs w:val="17"/>
              </w:rPr>
            </w:pPr>
            <w:r w:rsidRPr="009E305B">
              <w:rPr>
                <w:rFonts w:ascii="Arial" w:hAnsi="Arial" w:cs="Arial"/>
                <w:b/>
                <w:sz w:val="17"/>
                <w:szCs w:val="17"/>
              </w:rPr>
              <w:t xml:space="preserve">1,488,023,839 </w:t>
            </w:r>
          </w:p>
        </w:tc>
      </w:tr>
    </w:tbl>
    <w:p w:rsidR="0058361C" w:rsidRDefault="0058361C" w:rsidP="0058361C">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 xml:space="preserve">El rubro de </w:t>
      </w:r>
      <w:r w:rsidR="000B0333" w:rsidRPr="000B0333">
        <w:rPr>
          <w:rFonts w:ascii="Arial" w:eastAsia="Calibri" w:hAnsi="Arial" w:cs="Arial"/>
          <w:spacing w:val="-1"/>
          <w:sz w:val="17"/>
          <w:szCs w:val="17"/>
        </w:rPr>
        <w:t>Transferencias, Asignaciones, Subsidios y Otras Ayudas</w:t>
      </w:r>
      <w:r>
        <w:rPr>
          <w:rFonts w:ascii="Arial" w:eastAsia="Calibri" w:hAnsi="Arial" w:cs="Arial"/>
          <w:spacing w:val="-1"/>
          <w:sz w:val="17"/>
          <w:szCs w:val="17"/>
        </w:rPr>
        <w:t xml:space="preserve"> está distribuido de la siguiente manera:</w:t>
      </w:r>
    </w:p>
    <w:p w:rsidR="0058361C" w:rsidRPr="002D70DA" w:rsidRDefault="0058361C" w:rsidP="0058361C">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5D0A76" w:rsidRPr="002D70DA" w:rsidTr="003F2A9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D0A76" w:rsidRPr="002D70DA" w:rsidRDefault="005D0A76" w:rsidP="009831D5">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5D0A76" w:rsidRPr="002D70DA" w:rsidRDefault="00FD7D84" w:rsidP="009831D5">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5D0A76" w:rsidRPr="002D70DA" w:rsidRDefault="00FD7D84" w:rsidP="009831D5">
            <w:pPr>
              <w:jc w:val="center"/>
              <w:rPr>
                <w:rFonts w:ascii="Arial" w:hAnsi="Arial" w:cs="Arial"/>
                <w:b/>
                <w:bCs/>
                <w:color w:val="000000"/>
                <w:sz w:val="17"/>
                <w:szCs w:val="17"/>
              </w:rPr>
            </w:pPr>
            <w:r>
              <w:rPr>
                <w:rFonts w:ascii="Arial" w:hAnsi="Arial" w:cs="Arial"/>
                <w:b/>
                <w:bCs/>
                <w:color w:val="000000"/>
                <w:sz w:val="17"/>
                <w:szCs w:val="17"/>
              </w:rPr>
              <w:t>2019</w:t>
            </w:r>
          </w:p>
        </w:tc>
      </w:tr>
      <w:tr w:rsidR="003F2A9B" w:rsidRPr="002D70DA" w:rsidTr="003F2A9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3F2A9B" w:rsidRPr="00C34218" w:rsidRDefault="003F2A9B" w:rsidP="003F2A9B">
            <w:pPr>
              <w:rPr>
                <w:rFonts w:ascii="Arial" w:hAnsi="Arial" w:cs="Arial"/>
                <w:b/>
                <w:sz w:val="17"/>
                <w:szCs w:val="17"/>
              </w:rPr>
            </w:pPr>
            <w:r w:rsidRPr="00C34218">
              <w:rPr>
                <w:rFonts w:ascii="Arial" w:hAnsi="Arial" w:cs="Arial"/>
                <w:b/>
                <w:sz w:val="17"/>
                <w:szCs w:val="17"/>
              </w:rPr>
              <w:t>Poder Ejecutivo</w:t>
            </w:r>
          </w:p>
        </w:tc>
        <w:tc>
          <w:tcPr>
            <w:tcW w:w="2180" w:type="dxa"/>
            <w:tcBorders>
              <w:top w:val="single" w:sz="4" w:space="0" w:color="auto"/>
              <w:left w:val="nil"/>
              <w:bottom w:val="single" w:sz="4" w:space="0" w:color="auto"/>
              <w:right w:val="single" w:sz="4" w:space="0" w:color="auto"/>
            </w:tcBorders>
            <w:shd w:val="clear" w:color="auto" w:fill="auto"/>
          </w:tcPr>
          <w:p w:rsidR="003F2A9B" w:rsidRPr="003F2A9B" w:rsidRDefault="003F2A9B" w:rsidP="003F2A9B">
            <w:pPr>
              <w:jc w:val="right"/>
              <w:rPr>
                <w:rFonts w:ascii="Arial" w:hAnsi="Arial" w:cs="Arial"/>
                <w:b/>
                <w:sz w:val="17"/>
                <w:szCs w:val="17"/>
              </w:rPr>
            </w:pPr>
            <w:r w:rsidRPr="003F2A9B">
              <w:rPr>
                <w:rFonts w:ascii="Arial" w:hAnsi="Arial" w:cs="Arial"/>
                <w:b/>
                <w:sz w:val="17"/>
                <w:szCs w:val="17"/>
              </w:rPr>
              <w:t xml:space="preserve">22,025,122,187 </w:t>
            </w:r>
          </w:p>
        </w:tc>
        <w:tc>
          <w:tcPr>
            <w:tcW w:w="2180" w:type="dxa"/>
            <w:tcBorders>
              <w:top w:val="single" w:sz="4" w:space="0" w:color="auto"/>
              <w:left w:val="nil"/>
              <w:bottom w:val="single" w:sz="4" w:space="0" w:color="auto"/>
              <w:right w:val="single" w:sz="4" w:space="0" w:color="auto"/>
            </w:tcBorders>
            <w:shd w:val="clear" w:color="auto" w:fill="auto"/>
          </w:tcPr>
          <w:p w:rsidR="003F2A9B" w:rsidRPr="003F2A9B" w:rsidRDefault="003F2A9B" w:rsidP="003F2A9B">
            <w:pPr>
              <w:jc w:val="right"/>
              <w:rPr>
                <w:rFonts w:ascii="Arial" w:hAnsi="Arial" w:cs="Arial"/>
                <w:b/>
                <w:sz w:val="17"/>
                <w:szCs w:val="17"/>
              </w:rPr>
            </w:pPr>
            <w:r w:rsidRPr="003F2A9B">
              <w:rPr>
                <w:rFonts w:ascii="Arial" w:hAnsi="Arial" w:cs="Arial"/>
                <w:b/>
                <w:sz w:val="17"/>
                <w:szCs w:val="17"/>
              </w:rPr>
              <w:t xml:space="preserve">20,030,337,100 </w:t>
            </w:r>
          </w:p>
        </w:tc>
      </w:tr>
      <w:tr w:rsidR="003F2A9B" w:rsidRPr="002D70DA" w:rsidTr="003F2A9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3F2A9B" w:rsidRPr="00C34218" w:rsidRDefault="003F2A9B" w:rsidP="003F2A9B">
            <w:pPr>
              <w:rPr>
                <w:rFonts w:ascii="Arial" w:hAnsi="Arial" w:cs="Arial"/>
                <w:b/>
                <w:sz w:val="17"/>
                <w:szCs w:val="17"/>
              </w:rPr>
            </w:pPr>
            <w:r w:rsidRPr="00C34218">
              <w:rPr>
                <w:rFonts w:ascii="Arial" w:hAnsi="Arial" w:cs="Arial"/>
                <w:b/>
                <w:sz w:val="17"/>
                <w:szCs w:val="17"/>
              </w:rPr>
              <w:t>Poder Judicial</w:t>
            </w:r>
          </w:p>
        </w:tc>
        <w:tc>
          <w:tcPr>
            <w:tcW w:w="2180" w:type="dxa"/>
            <w:tcBorders>
              <w:top w:val="single" w:sz="4" w:space="0" w:color="auto"/>
              <w:left w:val="nil"/>
              <w:bottom w:val="single" w:sz="4" w:space="0" w:color="auto"/>
              <w:right w:val="single" w:sz="4" w:space="0" w:color="auto"/>
            </w:tcBorders>
            <w:shd w:val="clear" w:color="auto" w:fill="auto"/>
          </w:tcPr>
          <w:p w:rsidR="003F2A9B" w:rsidRPr="003F2A9B" w:rsidRDefault="003F2A9B" w:rsidP="003F2A9B">
            <w:pPr>
              <w:jc w:val="right"/>
              <w:rPr>
                <w:rFonts w:ascii="Arial" w:hAnsi="Arial" w:cs="Arial"/>
                <w:b/>
                <w:sz w:val="17"/>
                <w:szCs w:val="17"/>
              </w:rPr>
            </w:pPr>
            <w:r w:rsidRPr="003F2A9B">
              <w:rPr>
                <w:rFonts w:ascii="Arial" w:hAnsi="Arial" w:cs="Arial"/>
                <w:b/>
                <w:sz w:val="17"/>
                <w:szCs w:val="17"/>
              </w:rPr>
              <w:t xml:space="preserve">160,283,905 </w:t>
            </w:r>
          </w:p>
        </w:tc>
        <w:tc>
          <w:tcPr>
            <w:tcW w:w="2180" w:type="dxa"/>
            <w:tcBorders>
              <w:top w:val="single" w:sz="4" w:space="0" w:color="auto"/>
              <w:left w:val="nil"/>
              <w:bottom w:val="single" w:sz="4" w:space="0" w:color="auto"/>
              <w:right w:val="single" w:sz="4" w:space="0" w:color="auto"/>
            </w:tcBorders>
            <w:shd w:val="clear" w:color="auto" w:fill="auto"/>
          </w:tcPr>
          <w:p w:rsidR="003F2A9B" w:rsidRPr="003F2A9B" w:rsidRDefault="003F2A9B" w:rsidP="003F2A9B">
            <w:pPr>
              <w:jc w:val="right"/>
              <w:rPr>
                <w:rFonts w:ascii="Arial" w:hAnsi="Arial" w:cs="Arial"/>
                <w:b/>
                <w:sz w:val="17"/>
                <w:szCs w:val="17"/>
              </w:rPr>
            </w:pPr>
            <w:r w:rsidRPr="003F2A9B">
              <w:rPr>
                <w:rFonts w:ascii="Arial" w:hAnsi="Arial" w:cs="Arial"/>
                <w:b/>
                <w:sz w:val="17"/>
                <w:szCs w:val="17"/>
              </w:rPr>
              <w:t xml:space="preserve">131,745,794 </w:t>
            </w:r>
          </w:p>
        </w:tc>
      </w:tr>
      <w:tr w:rsidR="003F2A9B" w:rsidRPr="002D70DA" w:rsidTr="003F2A9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3F2A9B" w:rsidRPr="00C34218" w:rsidRDefault="003F2A9B" w:rsidP="003F2A9B">
            <w:pPr>
              <w:rPr>
                <w:rFonts w:ascii="Arial" w:hAnsi="Arial" w:cs="Arial"/>
                <w:b/>
                <w:sz w:val="17"/>
                <w:szCs w:val="17"/>
              </w:rPr>
            </w:pPr>
            <w:r w:rsidRPr="00C34218">
              <w:rPr>
                <w:rFonts w:ascii="Arial" w:hAnsi="Arial" w:cs="Arial"/>
                <w:b/>
                <w:sz w:val="17"/>
                <w:szCs w:val="17"/>
              </w:rPr>
              <w:t>Poder Legislativo</w:t>
            </w:r>
          </w:p>
        </w:tc>
        <w:tc>
          <w:tcPr>
            <w:tcW w:w="2180" w:type="dxa"/>
            <w:tcBorders>
              <w:top w:val="single" w:sz="4" w:space="0" w:color="auto"/>
              <w:left w:val="nil"/>
              <w:bottom w:val="single" w:sz="4" w:space="0" w:color="auto"/>
              <w:right w:val="single" w:sz="4" w:space="0" w:color="auto"/>
            </w:tcBorders>
            <w:shd w:val="clear" w:color="auto" w:fill="auto"/>
          </w:tcPr>
          <w:p w:rsidR="003F2A9B" w:rsidRPr="003F2A9B" w:rsidRDefault="003F2A9B" w:rsidP="003F2A9B">
            <w:pPr>
              <w:jc w:val="right"/>
              <w:rPr>
                <w:rFonts w:ascii="Arial" w:hAnsi="Arial" w:cs="Arial"/>
                <w:b/>
                <w:sz w:val="17"/>
                <w:szCs w:val="17"/>
              </w:rPr>
            </w:pPr>
            <w:r w:rsidRPr="003F2A9B">
              <w:rPr>
                <w:rFonts w:ascii="Arial" w:hAnsi="Arial" w:cs="Arial"/>
                <w:b/>
                <w:sz w:val="17"/>
                <w:szCs w:val="17"/>
              </w:rPr>
              <w:t xml:space="preserve">95,333,936 </w:t>
            </w:r>
          </w:p>
        </w:tc>
        <w:tc>
          <w:tcPr>
            <w:tcW w:w="2180" w:type="dxa"/>
            <w:tcBorders>
              <w:top w:val="single" w:sz="4" w:space="0" w:color="auto"/>
              <w:left w:val="nil"/>
              <w:bottom w:val="single" w:sz="4" w:space="0" w:color="auto"/>
              <w:right w:val="single" w:sz="4" w:space="0" w:color="auto"/>
            </w:tcBorders>
            <w:shd w:val="clear" w:color="auto" w:fill="auto"/>
          </w:tcPr>
          <w:p w:rsidR="003F2A9B" w:rsidRPr="003F2A9B" w:rsidRDefault="003F2A9B" w:rsidP="003F2A9B">
            <w:pPr>
              <w:jc w:val="right"/>
              <w:rPr>
                <w:rFonts w:ascii="Arial" w:hAnsi="Arial" w:cs="Arial"/>
                <w:b/>
                <w:sz w:val="17"/>
                <w:szCs w:val="17"/>
              </w:rPr>
            </w:pPr>
            <w:r w:rsidRPr="003F2A9B">
              <w:rPr>
                <w:rFonts w:ascii="Arial" w:hAnsi="Arial" w:cs="Arial"/>
                <w:b/>
                <w:sz w:val="17"/>
                <w:szCs w:val="17"/>
              </w:rPr>
              <w:t xml:space="preserve">96,223,538 </w:t>
            </w:r>
          </w:p>
        </w:tc>
      </w:tr>
      <w:tr w:rsidR="003F2A9B" w:rsidRPr="002D70DA" w:rsidTr="003F2A9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3F2A9B" w:rsidRPr="00C34218" w:rsidRDefault="003F2A9B" w:rsidP="003F2A9B">
            <w:pPr>
              <w:rPr>
                <w:rFonts w:ascii="Arial" w:hAnsi="Arial" w:cs="Arial"/>
                <w:b/>
                <w:sz w:val="17"/>
                <w:szCs w:val="17"/>
              </w:rPr>
            </w:pPr>
            <w:r w:rsidRPr="00C34218">
              <w:rPr>
                <w:rFonts w:ascii="Arial" w:hAnsi="Arial" w:cs="Arial"/>
                <w:b/>
                <w:sz w:val="17"/>
                <w:szCs w:val="17"/>
              </w:rPr>
              <w:t>Órganos Autónomos</w:t>
            </w:r>
          </w:p>
        </w:tc>
        <w:tc>
          <w:tcPr>
            <w:tcW w:w="2180" w:type="dxa"/>
            <w:tcBorders>
              <w:top w:val="single" w:sz="4" w:space="0" w:color="auto"/>
              <w:left w:val="nil"/>
              <w:bottom w:val="single" w:sz="4" w:space="0" w:color="auto"/>
              <w:right w:val="single" w:sz="4" w:space="0" w:color="auto"/>
            </w:tcBorders>
            <w:shd w:val="clear" w:color="auto" w:fill="auto"/>
          </w:tcPr>
          <w:p w:rsidR="003F2A9B" w:rsidRPr="003F2A9B" w:rsidRDefault="003F2A9B" w:rsidP="003F2A9B">
            <w:pPr>
              <w:jc w:val="right"/>
              <w:rPr>
                <w:rFonts w:ascii="Arial" w:hAnsi="Arial" w:cs="Arial"/>
                <w:b/>
                <w:sz w:val="17"/>
                <w:szCs w:val="17"/>
              </w:rPr>
            </w:pPr>
            <w:r w:rsidRPr="003F2A9B">
              <w:rPr>
                <w:rFonts w:ascii="Arial" w:hAnsi="Arial" w:cs="Arial"/>
                <w:b/>
                <w:sz w:val="17"/>
                <w:szCs w:val="17"/>
              </w:rPr>
              <w:t xml:space="preserve">159,927,202 </w:t>
            </w:r>
          </w:p>
        </w:tc>
        <w:tc>
          <w:tcPr>
            <w:tcW w:w="2180" w:type="dxa"/>
            <w:tcBorders>
              <w:top w:val="single" w:sz="4" w:space="0" w:color="auto"/>
              <w:left w:val="nil"/>
              <w:bottom w:val="single" w:sz="4" w:space="0" w:color="auto"/>
              <w:right w:val="single" w:sz="4" w:space="0" w:color="auto"/>
            </w:tcBorders>
            <w:shd w:val="clear" w:color="auto" w:fill="auto"/>
          </w:tcPr>
          <w:p w:rsidR="003F2A9B" w:rsidRPr="003F2A9B" w:rsidRDefault="003F2A9B" w:rsidP="003F2A9B">
            <w:pPr>
              <w:jc w:val="right"/>
              <w:rPr>
                <w:rFonts w:ascii="Arial" w:hAnsi="Arial" w:cs="Arial"/>
                <w:b/>
                <w:sz w:val="17"/>
                <w:szCs w:val="17"/>
              </w:rPr>
            </w:pPr>
            <w:r w:rsidRPr="003F2A9B">
              <w:rPr>
                <w:rFonts w:ascii="Arial" w:hAnsi="Arial" w:cs="Arial"/>
                <w:b/>
                <w:sz w:val="17"/>
                <w:szCs w:val="17"/>
              </w:rPr>
              <w:t xml:space="preserve">137,605,804 </w:t>
            </w:r>
          </w:p>
        </w:tc>
      </w:tr>
      <w:tr w:rsidR="003F2A9B" w:rsidRPr="002D70DA" w:rsidTr="003F2A9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3F2A9B" w:rsidRPr="00C34218" w:rsidRDefault="003F2A9B" w:rsidP="003F2A9B">
            <w:pPr>
              <w:ind w:left="497"/>
              <w:rPr>
                <w:rFonts w:ascii="Arial" w:hAnsi="Arial" w:cs="Arial"/>
                <w:sz w:val="17"/>
                <w:szCs w:val="17"/>
              </w:rPr>
            </w:pPr>
            <w:r w:rsidRPr="00C34218">
              <w:rPr>
                <w:rFonts w:ascii="Arial" w:hAnsi="Arial" w:cs="Arial"/>
                <w:sz w:val="17"/>
                <w:szCs w:val="17"/>
              </w:rPr>
              <w:t>Comisión de Transparencia y Acceso a la</w:t>
            </w:r>
          </w:p>
          <w:p w:rsidR="003F2A9B" w:rsidRPr="00560A6D" w:rsidRDefault="003F2A9B" w:rsidP="003F2A9B">
            <w:pPr>
              <w:ind w:left="497"/>
              <w:rPr>
                <w:rFonts w:ascii="Arial" w:hAnsi="Arial" w:cs="Arial"/>
                <w:sz w:val="17"/>
                <w:szCs w:val="17"/>
              </w:rPr>
            </w:pPr>
            <w:r w:rsidRPr="00C34218">
              <w:rPr>
                <w:rFonts w:ascii="Arial" w:hAnsi="Arial" w:cs="Arial"/>
                <w:sz w:val="17"/>
                <w:szCs w:val="17"/>
              </w:rPr>
              <w:t>Información Pública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3F2A9B" w:rsidRPr="003F2A9B" w:rsidRDefault="003F2A9B" w:rsidP="003F2A9B">
            <w:pPr>
              <w:jc w:val="right"/>
              <w:rPr>
                <w:rFonts w:ascii="Arial" w:hAnsi="Arial" w:cs="Arial"/>
                <w:sz w:val="17"/>
                <w:szCs w:val="17"/>
              </w:rPr>
            </w:pPr>
            <w:r w:rsidRPr="003F2A9B">
              <w:rPr>
                <w:rFonts w:ascii="Arial" w:hAnsi="Arial" w:cs="Arial"/>
                <w:sz w:val="17"/>
                <w:szCs w:val="17"/>
              </w:rPr>
              <w:t xml:space="preserve">560,513 </w:t>
            </w:r>
          </w:p>
        </w:tc>
        <w:tc>
          <w:tcPr>
            <w:tcW w:w="2180" w:type="dxa"/>
            <w:tcBorders>
              <w:top w:val="single" w:sz="4" w:space="0" w:color="auto"/>
              <w:left w:val="nil"/>
              <w:bottom w:val="single" w:sz="4" w:space="0" w:color="auto"/>
              <w:right w:val="single" w:sz="4" w:space="0" w:color="auto"/>
            </w:tcBorders>
            <w:shd w:val="clear" w:color="auto" w:fill="auto"/>
          </w:tcPr>
          <w:p w:rsidR="003F2A9B" w:rsidRPr="003F2A9B" w:rsidRDefault="003F2A9B" w:rsidP="003F2A9B">
            <w:pPr>
              <w:jc w:val="right"/>
              <w:rPr>
                <w:rFonts w:ascii="Arial" w:hAnsi="Arial" w:cs="Arial"/>
                <w:sz w:val="17"/>
                <w:szCs w:val="17"/>
              </w:rPr>
            </w:pPr>
            <w:r w:rsidRPr="003F2A9B">
              <w:rPr>
                <w:rFonts w:ascii="Arial" w:hAnsi="Arial" w:cs="Arial"/>
                <w:sz w:val="17"/>
                <w:szCs w:val="17"/>
              </w:rPr>
              <w:t xml:space="preserve">545,144 </w:t>
            </w:r>
          </w:p>
        </w:tc>
      </w:tr>
      <w:tr w:rsidR="003F2A9B" w:rsidRPr="002D70DA" w:rsidTr="003F2A9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3F2A9B" w:rsidRPr="00560A6D" w:rsidRDefault="003F2A9B" w:rsidP="003F2A9B">
            <w:pPr>
              <w:ind w:left="497"/>
              <w:rPr>
                <w:rFonts w:ascii="Arial" w:hAnsi="Arial" w:cs="Arial"/>
                <w:sz w:val="17"/>
                <w:szCs w:val="17"/>
              </w:rPr>
            </w:pPr>
            <w:r w:rsidRPr="00C34218">
              <w:rPr>
                <w:rFonts w:ascii="Arial" w:hAnsi="Arial" w:cs="Arial"/>
                <w:sz w:val="17"/>
                <w:szCs w:val="17"/>
              </w:rPr>
              <w:t>Defensoría de los Derechos Humanos de Querétaro</w:t>
            </w:r>
          </w:p>
        </w:tc>
        <w:tc>
          <w:tcPr>
            <w:tcW w:w="2180" w:type="dxa"/>
            <w:tcBorders>
              <w:top w:val="single" w:sz="4" w:space="0" w:color="auto"/>
              <w:left w:val="nil"/>
              <w:bottom w:val="single" w:sz="4" w:space="0" w:color="auto"/>
              <w:right w:val="single" w:sz="4" w:space="0" w:color="auto"/>
            </w:tcBorders>
            <w:shd w:val="clear" w:color="auto" w:fill="auto"/>
          </w:tcPr>
          <w:p w:rsidR="003F2A9B" w:rsidRPr="003F2A9B" w:rsidRDefault="003F2A9B" w:rsidP="003F2A9B">
            <w:pPr>
              <w:jc w:val="right"/>
              <w:rPr>
                <w:rFonts w:ascii="Arial" w:hAnsi="Arial" w:cs="Arial"/>
                <w:sz w:val="17"/>
                <w:szCs w:val="17"/>
              </w:rPr>
            </w:pPr>
            <w:r w:rsidRPr="003F2A9B">
              <w:rPr>
                <w:rFonts w:ascii="Arial" w:hAnsi="Arial" w:cs="Arial"/>
                <w:sz w:val="17"/>
                <w:szCs w:val="17"/>
              </w:rPr>
              <w:t xml:space="preserve">2,410,768 </w:t>
            </w:r>
          </w:p>
        </w:tc>
        <w:tc>
          <w:tcPr>
            <w:tcW w:w="2180" w:type="dxa"/>
            <w:tcBorders>
              <w:top w:val="single" w:sz="4" w:space="0" w:color="auto"/>
              <w:left w:val="nil"/>
              <w:bottom w:val="single" w:sz="4" w:space="0" w:color="auto"/>
              <w:right w:val="single" w:sz="4" w:space="0" w:color="auto"/>
            </w:tcBorders>
            <w:shd w:val="clear" w:color="auto" w:fill="auto"/>
          </w:tcPr>
          <w:p w:rsidR="003F2A9B" w:rsidRPr="003F2A9B" w:rsidRDefault="003F2A9B" w:rsidP="003F2A9B">
            <w:pPr>
              <w:jc w:val="right"/>
              <w:rPr>
                <w:rFonts w:ascii="Arial" w:hAnsi="Arial" w:cs="Arial"/>
                <w:sz w:val="17"/>
                <w:szCs w:val="17"/>
              </w:rPr>
            </w:pPr>
            <w:r w:rsidRPr="003F2A9B">
              <w:rPr>
                <w:rFonts w:ascii="Arial" w:hAnsi="Arial" w:cs="Arial"/>
                <w:sz w:val="17"/>
                <w:szCs w:val="17"/>
              </w:rPr>
              <w:t xml:space="preserve">2,147,692 </w:t>
            </w:r>
          </w:p>
        </w:tc>
      </w:tr>
      <w:tr w:rsidR="003F2A9B" w:rsidRPr="002D70DA" w:rsidTr="003F2A9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3F2A9B" w:rsidRPr="00C34218" w:rsidRDefault="003F2A9B" w:rsidP="003F2A9B">
            <w:pPr>
              <w:ind w:left="497"/>
              <w:rPr>
                <w:rFonts w:ascii="Arial" w:hAnsi="Arial" w:cs="Arial"/>
                <w:sz w:val="17"/>
                <w:szCs w:val="17"/>
              </w:rPr>
            </w:pPr>
            <w:r w:rsidRPr="00C34218">
              <w:rPr>
                <w:rFonts w:ascii="Arial" w:hAnsi="Arial" w:cs="Arial"/>
                <w:sz w:val="17"/>
                <w:szCs w:val="17"/>
              </w:rPr>
              <w:t>Entidad Superior de Fiscalización del Estado de</w:t>
            </w:r>
          </w:p>
          <w:p w:rsidR="003F2A9B" w:rsidRPr="00C34218" w:rsidRDefault="003F2A9B" w:rsidP="003F2A9B">
            <w:pPr>
              <w:ind w:left="497"/>
              <w:rPr>
                <w:rFonts w:ascii="Arial" w:hAnsi="Arial" w:cs="Arial"/>
                <w:sz w:val="17"/>
                <w:szCs w:val="17"/>
              </w:rPr>
            </w:pPr>
            <w:r w:rsidRPr="00C34218">
              <w:rPr>
                <w:rFonts w:ascii="Arial" w:hAnsi="Arial" w:cs="Arial"/>
                <w:sz w:val="17"/>
                <w:szCs w:val="17"/>
              </w:rPr>
              <w:t>Querétaro</w:t>
            </w:r>
          </w:p>
        </w:tc>
        <w:tc>
          <w:tcPr>
            <w:tcW w:w="2180" w:type="dxa"/>
            <w:tcBorders>
              <w:top w:val="single" w:sz="4" w:space="0" w:color="auto"/>
              <w:left w:val="nil"/>
              <w:bottom w:val="single" w:sz="4" w:space="0" w:color="auto"/>
              <w:right w:val="single" w:sz="4" w:space="0" w:color="auto"/>
            </w:tcBorders>
            <w:shd w:val="clear" w:color="auto" w:fill="auto"/>
          </w:tcPr>
          <w:p w:rsidR="003F2A9B" w:rsidRPr="003F2A9B" w:rsidRDefault="003F2A9B" w:rsidP="003F2A9B">
            <w:pPr>
              <w:jc w:val="right"/>
              <w:rPr>
                <w:rFonts w:ascii="Arial" w:hAnsi="Arial" w:cs="Arial"/>
                <w:sz w:val="17"/>
                <w:szCs w:val="17"/>
              </w:rPr>
            </w:pPr>
            <w:r w:rsidRPr="003F2A9B">
              <w:rPr>
                <w:rFonts w:ascii="Arial" w:hAnsi="Arial" w:cs="Arial"/>
                <w:sz w:val="17"/>
                <w:szCs w:val="17"/>
              </w:rPr>
              <w:t xml:space="preserve">7,537,162 </w:t>
            </w:r>
          </w:p>
        </w:tc>
        <w:tc>
          <w:tcPr>
            <w:tcW w:w="2180" w:type="dxa"/>
            <w:tcBorders>
              <w:top w:val="single" w:sz="4" w:space="0" w:color="auto"/>
              <w:left w:val="nil"/>
              <w:bottom w:val="single" w:sz="4" w:space="0" w:color="auto"/>
              <w:right w:val="single" w:sz="4" w:space="0" w:color="auto"/>
            </w:tcBorders>
            <w:shd w:val="clear" w:color="auto" w:fill="auto"/>
          </w:tcPr>
          <w:p w:rsidR="003F2A9B" w:rsidRPr="003F2A9B" w:rsidRDefault="003F2A9B" w:rsidP="003F2A9B">
            <w:pPr>
              <w:jc w:val="right"/>
              <w:rPr>
                <w:rFonts w:ascii="Arial" w:hAnsi="Arial" w:cs="Arial"/>
                <w:sz w:val="17"/>
                <w:szCs w:val="17"/>
              </w:rPr>
            </w:pPr>
            <w:r w:rsidRPr="003F2A9B">
              <w:rPr>
                <w:rFonts w:ascii="Arial" w:hAnsi="Arial" w:cs="Arial"/>
                <w:sz w:val="17"/>
                <w:szCs w:val="17"/>
              </w:rPr>
              <w:t xml:space="preserve">7,161,238 </w:t>
            </w:r>
          </w:p>
        </w:tc>
      </w:tr>
      <w:tr w:rsidR="003F2A9B" w:rsidRPr="002D70DA" w:rsidTr="003F2A9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3F2A9B" w:rsidRPr="00C34218" w:rsidRDefault="003F2A9B" w:rsidP="003F2A9B">
            <w:pPr>
              <w:ind w:left="497"/>
              <w:rPr>
                <w:rFonts w:ascii="Arial" w:hAnsi="Arial" w:cs="Arial"/>
                <w:sz w:val="17"/>
                <w:szCs w:val="17"/>
              </w:rPr>
            </w:pPr>
            <w:r w:rsidRPr="00C34218">
              <w:rPr>
                <w:rFonts w:ascii="Arial" w:hAnsi="Arial" w:cs="Arial"/>
                <w:sz w:val="17"/>
                <w:szCs w:val="17"/>
              </w:rPr>
              <w:t>Fiscalía General del Estado</w:t>
            </w:r>
          </w:p>
        </w:tc>
        <w:tc>
          <w:tcPr>
            <w:tcW w:w="2180" w:type="dxa"/>
            <w:tcBorders>
              <w:top w:val="single" w:sz="4" w:space="0" w:color="auto"/>
              <w:left w:val="nil"/>
              <w:bottom w:val="single" w:sz="4" w:space="0" w:color="auto"/>
              <w:right w:val="single" w:sz="4" w:space="0" w:color="auto"/>
            </w:tcBorders>
            <w:shd w:val="clear" w:color="auto" w:fill="auto"/>
          </w:tcPr>
          <w:p w:rsidR="003F2A9B" w:rsidRPr="003F2A9B" w:rsidRDefault="003F2A9B" w:rsidP="003F2A9B">
            <w:pPr>
              <w:jc w:val="right"/>
              <w:rPr>
                <w:rFonts w:ascii="Arial" w:hAnsi="Arial" w:cs="Arial"/>
                <w:sz w:val="17"/>
                <w:szCs w:val="17"/>
              </w:rPr>
            </w:pPr>
            <w:r w:rsidRPr="003F2A9B">
              <w:rPr>
                <w:rFonts w:ascii="Arial" w:hAnsi="Arial" w:cs="Arial"/>
                <w:sz w:val="17"/>
                <w:szCs w:val="17"/>
              </w:rPr>
              <w:t xml:space="preserve">46,805,112 </w:t>
            </w:r>
          </w:p>
        </w:tc>
        <w:tc>
          <w:tcPr>
            <w:tcW w:w="2180" w:type="dxa"/>
            <w:tcBorders>
              <w:top w:val="single" w:sz="4" w:space="0" w:color="auto"/>
              <w:left w:val="nil"/>
              <w:bottom w:val="single" w:sz="4" w:space="0" w:color="auto"/>
              <w:right w:val="single" w:sz="4" w:space="0" w:color="auto"/>
            </w:tcBorders>
            <w:shd w:val="clear" w:color="auto" w:fill="auto"/>
          </w:tcPr>
          <w:p w:rsidR="003F2A9B" w:rsidRPr="003F2A9B" w:rsidRDefault="003F2A9B" w:rsidP="003F2A9B">
            <w:pPr>
              <w:jc w:val="right"/>
              <w:rPr>
                <w:rFonts w:ascii="Arial" w:hAnsi="Arial" w:cs="Arial"/>
                <w:sz w:val="17"/>
                <w:szCs w:val="17"/>
              </w:rPr>
            </w:pPr>
            <w:r w:rsidRPr="003F2A9B">
              <w:rPr>
                <w:rFonts w:ascii="Arial" w:hAnsi="Arial" w:cs="Arial"/>
                <w:sz w:val="17"/>
                <w:szCs w:val="17"/>
              </w:rPr>
              <w:t xml:space="preserve">33,233,830 </w:t>
            </w:r>
          </w:p>
        </w:tc>
      </w:tr>
      <w:tr w:rsidR="003F2A9B" w:rsidRPr="002D70DA" w:rsidTr="003F2A9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3F2A9B" w:rsidRPr="00560A6D" w:rsidRDefault="003F2A9B" w:rsidP="003F2A9B">
            <w:pPr>
              <w:ind w:left="497"/>
              <w:rPr>
                <w:rFonts w:ascii="Arial" w:hAnsi="Arial" w:cs="Arial"/>
                <w:sz w:val="17"/>
                <w:szCs w:val="17"/>
              </w:rPr>
            </w:pPr>
            <w:r w:rsidRPr="00C34218">
              <w:rPr>
                <w:rFonts w:ascii="Arial" w:hAnsi="Arial" w:cs="Arial"/>
                <w:sz w:val="17"/>
                <w:szCs w:val="17"/>
              </w:rPr>
              <w:t>Instituto Electoral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3F2A9B" w:rsidRPr="003F2A9B" w:rsidRDefault="003F2A9B" w:rsidP="003F2A9B">
            <w:pPr>
              <w:jc w:val="right"/>
              <w:rPr>
                <w:rFonts w:ascii="Arial" w:hAnsi="Arial" w:cs="Arial"/>
                <w:sz w:val="17"/>
                <w:szCs w:val="17"/>
              </w:rPr>
            </w:pPr>
            <w:r w:rsidRPr="003F2A9B">
              <w:rPr>
                <w:rFonts w:ascii="Arial" w:hAnsi="Arial" w:cs="Arial"/>
                <w:sz w:val="17"/>
                <w:szCs w:val="17"/>
              </w:rPr>
              <w:t xml:space="preserve">97,791,594 </w:t>
            </w:r>
          </w:p>
        </w:tc>
        <w:tc>
          <w:tcPr>
            <w:tcW w:w="2180" w:type="dxa"/>
            <w:tcBorders>
              <w:top w:val="single" w:sz="4" w:space="0" w:color="auto"/>
              <w:left w:val="nil"/>
              <w:bottom w:val="single" w:sz="4" w:space="0" w:color="auto"/>
              <w:right w:val="single" w:sz="4" w:space="0" w:color="auto"/>
            </w:tcBorders>
            <w:shd w:val="clear" w:color="auto" w:fill="auto"/>
          </w:tcPr>
          <w:p w:rsidR="003F2A9B" w:rsidRPr="003F2A9B" w:rsidRDefault="003F2A9B" w:rsidP="003F2A9B">
            <w:pPr>
              <w:jc w:val="right"/>
              <w:rPr>
                <w:rFonts w:ascii="Arial" w:hAnsi="Arial" w:cs="Arial"/>
                <w:sz w:val="17"/>
                <w:szCs w:val="17"/>
              </w:rPr>
            </w:pPr>
            <w:r w:rsidRPr="003F2A9B">
              <w:rPr>
                <w:rFonts w:ascii="Arial" w:hAnsi="Arial" w:cs="Arial"/>
                <w:sz w:val="17"/>
                <w:szCs w:val="17"/>
              </w:rPr>
              <w:t xml:space="preserve">89,921,513 </w:t>
            </w:r>
          </w:p>
        </w:tc>
      </w:tr>
      <w:tr w:rsidR="003F2A9B" w:rsidRPr="002D70DA" w:rsidTr="003F2A9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3F2A9B" w:rsidRPr="00C34218" w:rsidRDefault="003F2A9B" w:rsidP="003F2A9B">
            <w:pPr>
              <w:ind w:left="497"/>
              <w:rPr>
                <w:rFonts w:ascii="Arial" w:hAnsi="Arial" w:cs="Arial"/>
                <w:sz w:val="17"/>
                <w:szCs w:val="17"/>
              </w:rPr>
            </w:pPr>
            <w:r w:rsidRPr="00C34218">
              <w:rPr>
                <w:rFonts w:ascii="Arial" w:hAnsi="Arial" w:cs="Arial"/>
                <w:sz w:val="17"/>
                <w:szCs w:val="17"/>
              </w:rPr>
              <w:t>Tribunal de Conciliación y Arbitraje</w:t>
            </w:r>
          </w:p>
        </w:tc>
        <w:tc>
          <w:tcPr>
            <w:tcW w:w="2180" w:type="dxa"/>
            <w:tcBorders>
              <w:top w:val="single" w:sz="4" w:space="0" w:color="auto"/>
              <w:left w:val="nil"/>
              <w:bottom w:val="single" w:sz="4" w:space="0" w:color="auto"/>
              <w:right w:val="single" w:sz="4" w:space="0" w:color="auto"/>
            </w:tcBorders>
            <w:shd w:val="clear" w:color="auto" w:fill="auto"/>
          </w:tcPr>
          <w:p w:rsidR="003F2A9B" w:rsidRPr="003F2A9B" w:rsidRDefault="003F2A9B" w:rsidP="003F2A9B">
            <w:pPr>
              <w:jc w:val="right"/>
              <w:rPr>
                <w:rFonts w:ascii="Arial" w:hAnsi="Arial" w:cs="Arial"/>
                <w:sz w:val="17"/>
                <w:szCs w:val="17"/>
              </w:rPr>
            </w:pPr>
            <w:r w:rsidRPr="003F2A9B">
              <w:rPr>
                <w:rFonts w:ascii="Arial" w:hAnsi="Arial" w:cs="Arial"/>
                <w:sz w:val="17"/>
                <w:szCs w:val="17"/>
              </w:rPr>
              <w:t xml:space="preserve">2,941,934 </w:t>
            </w:r>
          </w:p>
        </w:tc>
        <w:tc>
          <w:tcPr>
            <w:tcW w:w="2180" w:type="dxa"/>
            <w:tcBorders>
              <w:top w:val="single" w:sz="4" w:space="0" w:color="auto"/>
              <w:left w:val="nil"/>
              <w:bottom w:val="single" w:sz="4" w:space="0" w:color="auto"/>
              <w:right w:val="single" w:sz="4" w:space="0" w:color="auto"/>
            </w:tcBorders>
            <w:shd w:val="clear" w:color="auto" w:fill="auto"/>
          </w:tcPr>
          <w:p w:rsidR="003F2A9B" w:rsidRPr="003F2A9B" w:rsidRDefault="003F2A9B" w:rsidP="003F2A9B">
            <w:pPr>
              <w:jc w:val="right"/>
              <w:rPr>
                <w:rFonts w:ascii="Arial" w:hAnsi="Arial" w:cs="Arial"/>
                <w:sz w:val="17"/>
                <w:szCs w:val="17"/>
              </w:rPr>
            </w:pPr>
            <w:r w:rsidRPr="003F2A9B">
              <w:rPr>
                <w:rFonts w:ascii="Arial" w:hAnsi="Arial" w:cs="Arial"/>
                <w:sz w:val="17"/>
                <w:szCs w:val="17"/>
              </w:rPr>
              <w:t xml:space="preserve">2,694,152 </w:t>
            </w:r>
          </w:p>
        </w:tc>
      </w:tr>
      <w:tr w:rsidR="003F2A9B" w:rsidRPr="002D70DA" w:rsidTr="003F2A9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3F2A9B" w:rsidRPr="00C34218" w:rsidRDefault="003F2A9B" w:rsidP="003F2A9B">
            <w:pPr>
              <w:ind w:left="497"/>
              <w:rPr>
                <w:rFonts w:ascii="Arial" w:hAnsi="Arial" w:cs="Arial"/>
                <w:sz w:val="17"/>
                <w:szCs w:val="17"/>
              </w:rPr>
            </w:pPr>
            <w:r w:rsidRPr="00C34218">
              <w:rPr>
                <w:rFonts w:ascii="Arial" w:hAnsi="Arial" w:cs="Arial"/>
                <w:sz w:val="17"/>
                <w:szCs w:val="17"/>
              </w:rPr>
              <w:t>Tribunal de Justicia Administrativa del Estado de</w:t>
            </w:r>
          </w:p>
          <w:p w:rsidR="003F2A9B" w:rsidRPr="00560A6D" w:rsidRDefault="003F2A9B" w:rsidP="003F2A9B">
            <w:pPr>
              <w:ind w:left="497"/>
              <w:rPr>
                <w:rFonts w:ascii="Arial" w:hAnsi="Arial" w:cs="Arial"/>
                <w:sz w:val="17"/>
                <w:szCs w:val="17"/>
              </w:rPr>
            </w:pPr>
            <w:r w:rsidRPr="00C34218">
              <w:rPr>
                <w:rFonts w:ascii="Arial" w:hAnsi="Arial" w:cs="Arial"/>
                <w:sz w:val="17"/>
                <w:szCs w:val="17"/>
              </w:rPr>
              <w:t>Querétaro</w:t>
            </w:r>
          </w:p>
        </w:tc>
        <w:tc>
          <w:tcPr>
            <w:tcW w:w="2180" w:type="dxa"/>
            <w:tcBorders>
              <w:top w:val="single" w:sz="4" w:space="0" w:color="auto"/>
              <w:left w:val="nil"/>
              <w:bottom w:val="single" w:sz="4" w:space="0" w:color="auto"/>
              <w:right w:val="single" w:sz="4" w:space="0" w:color="auto"/>
            </w:tcBorders>
            <w:shd w:val="clear" w:color="auto" w:fill="auto"/>
          </w:tcPr>
          <w:p w:rsidR="003F2A9B" w:rsidRPr="003F2A9B" w:rsidRDefault="003F2A9B" w:rsidP="003F2A9B">
            <w:pPr>
              <w:jc w:val="right"/>
              <w:rPr>
                <w:rFonts w:ascii="Arial" w:hAnsi="Arial" w:cs="Arial"/>
                <w:sz w:val="17"/>
                <w:szCs w:val="17"/>
              </w:rPr>
            </w:pPr>
            <w:r w:rsidRPr="003F2A9B">
              <w:rPr>
                <w:rFonts w:ascii="Arial" w:hAnsi="Arial" w:cs="Arial"/>
                <w:sz w:val="17"/>
                <w:szCs w:val="17"/>
              </w:rPr>
              <w:t xml:space="preserve">1,880,121 </w:t>
            </w:r>
          </w:p>
        </w:tc>
        <w:tc>
          <w:tcPr>
            <w:tcW w:w="2180" w:type="dxa"/>
            <w:tcBorders>
              <w:top w:val="single" w:sz="4" w:space="0" w:color="auto"/>
              <w:left w:val="nil"/>
              <w:bottom w:val="single" w:sz="4" w:space="0" w:color="auto"/>
              <w:right w:val="single" w:sz="4" w:space="0" w:color="auto"/>
            </w:tcBorders>
            <w:shd w:val="clear" w:color="auto" w:fill="auto"/>
          </w:tcPr>
          <w:p w:rsidR="003F2A9B" w:rsidRPr="003F2A9B" w:rsidRDefault="003F2A9B" w:rsidP="003F2A9B">
            <w:pPr>
              <w:jc w:val="right"/>
              <w:rPr>
                <w:rFonts w:ascii="Arial" w:hAnsi="Arial" w:cs="Arial"/>
                <w:sz w:val="17"/>
                <w:szCs w:val="17"/>
              </w:rPr>
            </w:pPr>
            <w:r w:rsidRPr="003F2A9B">
              <w:rPr>
                <w:rFonts w:ascii="Arial" w:hAnsi="Arial" w:cs="Arial"/>
                <w:sz w:val="17"/>
                <w:szCs w:val="17"/>
              </w:rPr>
              <w:t xml:space="preserve">1,902,235 </w:t>
            </w:r>
          </w:p>
        </w:tc>
      </w:tr>
      <w:tr w:rsidR="003F2A9B" w:rsidRPr="002D70DA" w:rsidTr="003F2A9B">
        <w:trPr>
          <w:trHeight w:val="240"/>
          <w:jc w:val="center"/>
        </w:trPr>
        <w:tc>
          <w:tcPr>
            <w:tcW w:w="4900" w:type="dxa"/>
            <w:tcBorders>
              <w:top w:val="nil"/>
              <w:left w:val="nil"/>
              <w:bottom w:val="nil"/>
              <w:right w:val="single" w:sz="4" w:space="0" w:color="auto"/>
            </w:tcBorders>
            <w:shd w:val="clear" w:color="000000" w:fill="FFFFFF"/>
            <w:vAlign w:val="center"/>
            <w:hideMark/>
          </w:tcPr>
          <w:p w:rsidR="003F2A9B" w:rsidRPr="002D70DA" w:rsidRDefault="003F2A9B" w:rsidP="003F2A9B">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3F2A9B" w:rsidRPr="00BD5D24" w:rsidRDefault="003F2A9B" w:rsidP="003F2A9B">
            <w:pPr>
              <w:jc w:val="right"/>
              <w:rPr>
                <w:rFonts w:ascii="Arial" w:hAnsi="Arial" w:cs="Arial"/>
                <w:b/>
                <w:sz w:val="17"/>
                <w:szCs w:val="17"/>
              </w:rPr>
            </w:pPr>
            <w:r w:rsidRPr="003F2A9B">
              <w:rPr>
                <w:rFonts w:ascii="Arial" w:hAnsi="Arial" w:cs="Arial"/>
                <w:b/>
                <w:sz w:val="17"/>
                <w:szCs w:val="17"/>
              </w:rPr>
              <w:t>22,440,667,230</w:t>
            </w:r>
          </w:p>
        </w:tc>
        <w:tc>
          <w:tcPr>
            <w:tcW w:w="2180" w:type="dxa"/>
            <w:tcBorders>
              <w:top w:val="nil"/>
              <w:left w:val="single" w:sz="4" w:space="0" w:color="auto"/>
              <w:bottom w:val="single" w:sz="4" w:space="0" w:color="auto"/>
              <w:right w:val="single" w:sz="4" w:space="0" w:color="auto"/>
            </w:tcBorders>
            <w:shd w:val="clear" w:color="000000" w:fill="FFFFFF"/>
          </w:tcPr>
          <w:p w:rsidR="003F2A9B" w:rsidRPr="003F2A9B" w:rsidRDefault="003F2A9B" w:rsidP="003F2A9B">
            <w:pPr>
              <w:jc w:val="right"/>
              <w:rPr>
                <w:rFonts w:ascii="Arial" w:hAnsi="Arial" w:cs="Arial"/>
                <w:b/>
                <w:sz w:val="17"/>
                <w:szCs w:val="17"/>
              </w:rPr>
            </w:pPr>
            <w:r w:rsidRPr="003F2A9B">
              <w:rPr>
                <w:rFonts w:ascii="Arial" w:hAnsi="Arial" w:cs="Arial"/>
                <w:b/>
                <w:sz w:val="17"/>
                <w:szCs w:val="17"/>
              </w:rPr>
              <w:t xml:space="preserve">20,395,912,236 </w:t>
            </w:r>
          </w:p>
        </w:tc>
      </w:tr>
    </w:tbl>
    <w:p w:rsidR="00BC40BB" w:rsidRDefault="00BC40BB" w:rsidP="000B0333">
      <w:pPr>
        <w:autoSpaceDE w:val="0"/>
        <w:autoSpaceDN w:val="0"/>
        <w:adjustRightInd w:val="0"/>
        <w:spacing w:before="240" w:after="120"/>
        <w:ind w:left="709"/>
        <w:rPr>
          <w:rFonts w:ascii="Arial" w:eastAsia="Calibri" w:hAnsi="Arial" w:cs="Arial"/>
          <w:spacing w:val="-1"/>
          <w:sz w:val="17"/>
          <w:szCs w:val="17"/>
        </w:rPr>
      </w:pPr>
    </w:p>
    <w:p w:rsidR="00337C3F" w:rsidRPr="00D80124" w:rsidRDefault="006637C5" w:rsidP="00337C3F">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El saldo del</w:t>
      </w:r>
      <w:r w:rsidR="00337C3F" w:rsidRPr="00D80124">
        <w:rPr>
          <w:rFonts w:ascii="Arial" w:eastAsia="Calibri" w:hAnsi="Arial" w:cs="Arial"/>
          <w:spacing w:val="-1"/>
          <w:sz w:val="17"/>
          <w:szCs w:val="17"/>
        </w:rPr>
        <w:t xml:space="preserve"> rubro de </w:t>
      </w:r>
      <w:r w:rsidRPr="006637C5">
        <w:rPr>
          <w:rFonts w:ascii="Arial" w:eastAsia="Calibri" w:hAnsi="Arial" w:cs="Arial"/>
          <w:spacing w:val="-1"/>
          <w:sz w:val="17"/>
          <w:szCs w:val="17"/>
        </w:rPr>
        <w:t>Participaciones y Aportaciones</w:t>
      </w:r>
      <w:r w:rsidR="00337C3F" w:rsidRPr="00D80124">
        <w:rPr>
          <w:rFonts w:ascii="Arial" w:eastAsia="Calibri" w:hAnsi="Arial" w:cs="Arial"/>
          <w:spacing w:val="-1"/>
          <w:sz w:val="17"/>
          <w:szCs w:val="17"/>
        </w:rPr>
        <w:t xml:space="preserve"> </w:t>
      </w:r>
      <w:r>
        <w:rPr>
          <w:rFonts w:ascii="Arial" w:eastAsia="Calibri" w:hAnsi="Arial" w:cs="Arial"/>
          <w:spacing w:val="-1"/>
          <w:sz w:val="17"/>
          <w:szCs w:val="17"/>
        </w:rPr>
        <w:t xml:space="preserve">es de </w:t>
      </w:r>
      <w:r w:rsidR="000A6524">
        <w:rPr>
          <w:rFonts w:ascii="Arial" w:eastAsia="Calibri" w:hAnsi="Arial" w:cs="Arial"/>
          <w:spacing w:val="-1"/>
          <w:sz w:val="17"/>
          <w:szCs w:val="17"/>
        </w:rPr>
        <w:t>9,755,737,597</w:t>
      </w:r>
      <w:r w:rsidR="00BD5D24" w:rsidRPr="00BD5D24">
        <w:rPr>
          <w:rFonts w:ascii="Arial" w:eastAsia="Calibri" w:hAnsi="Arial" w:cs="Arial"/>
          <w:spacing w:val="-1"/>
          <w:sz w:val="17"/>
          <w:szCs w:val="17"/>
        </w:rPr>
        <w:t xml:space="preserve"> </w:t>
      </w:r>
      <w:r>
        <w:rPr>
          <w:rFonts w:ascii="Arial" w:eastAsia="Calibri" w:hAnsi="Arial" w:cs="Arial"/>
          <w:spacing w:val="-1"/>
          <w:sz w:val="17"/>
          <w:szCs w:val="17"/>
        </w:rPr>
        <w:t>y corresponde al Poder Ejecutivo del Estado de Querétaro.</w:t>
      </w:r>
    </w:p>
    <w:p w:rsidR="0063592B" w:rsidRPr="00D80124" w:rsidRDefault="0063592B" w:rsidP="0063592B">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El saldo del</w:t>
      </w:r>
      <w:r w:rsidRPr="00D80124">
        <w:rPr>
          <w:rFonts w:ascii="Arial" w:eastAsia="Calibri" w:hAnsi="Arial" w:cs="Arial"/>
          <w:spacing w:val="-1"/>
          <w:sz w:val="17"/>
          <w:szCs w:val="17"/>
        </w:rPr>
        <w:t xml:space="preserve"> rubro de </w:t>
      </w:r>
      <w:r w:rsidRPr="0063592B">
        <w:rPr>
          <w:rFonts w:ascii="Arial" w:eastAsia="Calibri" w:hAnsi="Arial" w:cs="Arial"/>
          <w:spacing w:val="-1"/>
          <w:sz w:val="17"/>
          <w:szCs w:val="17"/>
        </w:rPr>
        <w:t>Intereses, Comisiones y Otros Gastos de la Deuda Pública</w:t>
      </w:r>
      <w:r w:rsidRPr="00D80124">
        <w:rPr>
          <w:rFonts w:ascii="Arial" w:eastAsia="Calibri" w:hAnsi="Arial" w:cs="Arial"/>
          <w:spacing w:val="-1"/>
          <w:sz w:val="17"/>
          <w:szCs w:val="17"/>
        </w:rPr>
        <w:t xml:space="preserve"> </w:t>
      </w:r>
      <w:r>
        <w:rPr>
          <w:rFonts w:ascii="Arial" w:eastAsia="Calibri" w:hAnsi="Arial" w:cs="Arial"/>
          <w:spacing w:val="-1"/>
          <w:sz w:val="17"/>
          <w:szCs w:val="17"/>
        </w:rPr>
        <w:t xml:space="preserve">es de </w:t>
      </w:r>
      <w:r w:rsidRPr="0063592B">
        <w:rPr>
          <w:rFonts w:ascii="Arial" w:eastAsia="Calibri" w:hAnsi="Arial" w:cs="Arial"/>
          <w:spacing w:val="-1"/>
          <w:sz w:val="17"/>
          <w:szCs w:val="17"/>
        </w:rPr>
        <w:t xml:space="preserve">13,613,338 </w:t>
      </w:r>
      <w:r>
        <w:rPr>
          <w:rFonts w:ascii="Arial" w:eastAsia="Calibri" w:hAnsi="Arial" w:cs="Arial"/>
          <w:spacing w:val="-1"/>
          <w:sz w:val="17"/>
          <w:szCs w:val="17"/>
        </w:rPr>
        <w:t>y corresponde al Poder Ejecutivo del Estado de Querétaro.</w:t>
      </w:r>
    </w:p>
    <w:p w:rsidR="00337C3F" w:rsidRDefault="00337C3F" w:rsidP="000B0333">
      <w:pPr>
        <w:autoSpaceDE w:val="0"/>
        <w:autoSpaceDN w:val="0"/>
        <w:adjustRightInd w:val="0"/>
        <w:spacing w:before="240" w:after="120"/>
        <w:ind w:left="709"/>
        <w:rPr>
          <w:rFonts w:ascii="Arial" w:eastAsia="Calibri" w:hAnsi="Arial" w:cs="Arial"/>
          <w:spacing w:val="-1"/>
          <w:sz w:val="17"/>
          <w:szCs w:val="17"/>
        </w:rPr>
      </w:pPr>
    </w:p>
    <w:p w:rsidR="00245E5E" w:rsidRDefault="00245E5E">
      <w:pPr>
        <w:rPr>
          <w:rFonts w:ascii="Arial" w:eastAsia="Calibri" w:hAnsi="Arial" w:cs="Arial"/>
          <w:spacing w:val="-1"/>
          <w:sz w:val="17"/>
          <w:szCs w:val="17"/>
        </w:rPr>
      </w:pPr>
      <w:r>
        <w:rPr>
          <w:rFonts w:ascii="Arial" w:eastAsia="Calibri" w:hAnsi="Arial" w:cs="Arial"/>
          <w:spacing w:val="-1"/>
          <w:sz w:val="17"/>
          <w:szCs w:val="17"/>
        </w:rPr>
        <w:br w:type="page"/>
      </w:r>
    </w:p>
    <w:p w:rsidR="006637C5" w:rsidRDefault="006637C5" w:rsidP="006637C5">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lastRenderedPageBreak/>
        <w:t xml:space="preserve">El rubro de </w:t>
      </w:r>
      <w:r w:rsidRPr="006637C5">
        <w:rPr>
          <w:rFonts w:ascii="Arial" w:eastAsia="Calibri" w:hAnsi="Arial" w:cs="Arial"/>
          <w:spacing w:val="-1"/>
          <w:sz w:val="17"/>
          <w:szCs w:val="17"/>
        </w:rPr>
        <w:t>Otros Gastos y Pérdidas Extraordinarias</w:t>
      </w:r>
      <w:r>
        <w:rPr>
          <w:rFonts w:ascii="Arial" w:eastAsia="Calibri" w:hAnsi="Arial" w:cs="Arial"/>
          <w:spacing w:val="-1"/>
          <w:sz w:val="17"/>
          <w:szCs w:val="17"/>
        </w:rPr>
        <w:t xml:space="preserve"> está distribuido de la siguiente manera:</w:t>
      </w:r>
    </w:p>
    <w:p w:rsidR="006637C5" w:rsidRPr="002D70DA" w:rsidRDefault="006637C5" w:rsidP="006637C5">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6637C5" w:rsidRPr="002D70DA" w:rsidTr="0063592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637C5" w:rsidRPr="002D70DA" w:rsidRDefault="006637C5" w:rsidP="009831D5">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6637C5" w:rsidRPr="002D70DA" w:rsidRDefault="00FD7D84" w:rsidP="009831D5">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6637C5" w:rsidRPr="002D70DA" w:rsidRDefault="00FD7D84" w:rsidP="009831D5">
            <w:pPr>
              <w:jc w:val="center"/>
              <w:rPr>
                <w:rFonts w:ascii="Arial" w:hAnsi="Arial" w:cs="Arial"/>
                <w:b/>
                <w:bCs/>
                <w:color w:val="000000"/>
                <w:sz w:val="17"/>
                <w:szCs w:val="17"/>
              </w:rPr>
            </w:pPr>
            <w:r>
              <w:rPr>
                <w:rFonts w:ascii="Arial" w:hAnsi="Arial" w:cs="Arial"/>
                <w:b/>
                <w:bCs/>
                <w:color w:val="000000"/>
                <w:sz w:val="17"/>
                <w:szCs w:val="17"/>
              </w:rPr>
              <w:t>2019</w:t>
            </w:r>
          </w:p>
        </w:tc>
      </w:tr>
      <w:tr w:rsidR="0063592B" w:rsidRPr="002D70DA" w:rsidTr="0063592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3592B" w:rsidRPr="00C34218" w:rsidRDefault="0063592B" w:rsidP="0063592B">
            <w:pPr>
              <w:rPr>
                <w:rFonts w:ascii="Arial" w:hAnsi="Arial" w:cs="Arial"/>
                <w:b/>
                <w:sz w:val="17"/>
                <w:szCs w:val="17"/>
              </w:rPr>
            </w:pPr>
            <w:r w:rsidRPr="00C34218">
              <w:rPr>
                <w:rFonts w:ascii="Arial" w:hAnsi="Arial" w:cs="Arial"/>
                <w:b/>
                <w:sz w:val="17"/>
                <w:szCs w:val="17"/>
              </w:rPr>
              <w:t>Poder Ejecutivo</w:t>
            </w:r>
          </w:p>
        </w:tc>
        <w:tc>
          <w:tcPr>
            <w:tcW w:w="2180" w:type="dxa"/>
            <w:tcBorders>
              <w:top w:val="single" w:sz="4" w:space="0" w:color="auto"/>
              <w:left w:val="nil"/>
              <w:bottom w:val="single" w:sz="4" w:space="0" w:color="auto"/>
              <w:right w:val="single" w:sz="4" w:space="0" w:color="auto"/>
            </w:tcBorders>
            <w:shd w:val="clear" w:color="auto" w:fill="auto"/>
          </w:tcPr>
          <w:p w:rsidR="0063592B" w:rsidRPr="006736AF" w:rsidRDefault="0063592B" w:rsidP="0063592B">
            <w:pPr>
              <w:jc w:val="right"/>
              <w:rPr>
                <w:rFonts w:ascii="Arial" w:hAnsi="Arial" w:cs="Arial"/>
                <w:b/>
                <w:sz w:val="17"/>
                <w:szCs w:val="17"/>
              </w:rPr>
            </w:pPr>
            <w:r w:rsidRPr="0063592B">
              <w:rPr>
                <w:rFonts w:ascii="Arial" w:hAnsi="Arial" w:cs="Arial"/>
                <w:b/>
                <w:sz w:val="17"/>
                <w:szCs w:val="17"/>
              </w:rPr>
              <w:t>1,415,262,643</w:t>
            </w:r>
          </w:p>
        </w:tc>
        <w:tc>
          <w:tcPr>
            <w:tcW w:w="2180" w:type="dxa"/>
            <w:tcBorders>
              <w:top w:val="single" w:sz="4" w:space="0" w:color="auto"/>
              <w:left w:val="nil"/>
              <w:bottom w:val="single" w:sz="4" w:space="0" w:color="auto"/>
              <w:right w:val="single" w:sz="4" w:space="0" w:color="auto"/>
            </w:tcBorders>
            <w:shd w:val="clear" w:color="auto" w:fill="auto"/>
          </w:tcPr>
          <w:p w:rsidR="0063592B" w:rsidRPr="0063592B" w:rsidRDefault="0063592B" w:rsidP="0063592B">
            <w:pPr>
              <w:jc w:val="right"/>
              <w:rPr>
                <w:rFonts w:ascii="Arial" w:hAnsi="Arial" w:cs="Arial"/>
                <w:b/>
                <w:sz w:val="17"/>
                <w:szCs w:val="17"/>
              </w:rPr>
            </w:pPr>
            <w:r w:rsidRPr="0063592B">
              <w:rPr>
                <w:rFonts w:ascii="Arial" w:hAnsi="Arial" w:cs="Arial"/>
                <w:b/>
                <w:sz w:val="17"/>
                <w:szCs w:val="17"/>
              </w:rPr>
              <w:t xml:space="preserve">1,754,328,693 </w:t>
            </w:r>
          </w:p>
        </w:tc>
      </w:tr>
      <w:tr w:rsidR="0063592B" w:rsidRPr="002D70DA" w:rsidTr="0063592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3592B" w:rsidRPr="00C34218" w:rsidRDefault="0063592B" w:rsidP="0063592B">
            <w:pPr>
              <w:rPr>
                <w:rFonts w:ascii="Arial" w:hAnsi="Arial" w:cs="Arial"/>
                <w:b/>
                <w:sz w:val="17"/>
                <w:szCs w:val="17"/>
              </w:rPr>
            </w:pPr>
            <w:r w:rsidRPr="00C34218">
              <w:rPr>
                <w:rFonts w:ascii="Arial" w:hAnsi="Arial" w:cs="Arial"/>
                <w:b/>
                <w:sz w:val="17"/>
                <w:szCs w:val="17"/>
              </w:rPr>
              <w:t>Poder Legislativo</w:t>
            </w:r>
          </w:p>
        </w:tc>
        <w:tc>
          <w:tcPr>
            <w:tcW w:w="2180" w:type="dxa"/>
            <w:tcBorders>
              <w:top w:val="single" w:sz="4" w:space="0" w:color="auto"/>
              <w:left w:val="nil"/>
              <w:bottom w:val="single" w:sz="4" w:space="0" w:color="auto"/>
              <w:right w:val="single" w:sz="4" w:space="0" w:color="auto"/>
            </w:tcBorders>
            <w:shd w:val="clear" w:color="auto" w:fill="auto"/>
          </w:tcPr>
          <w:p w:rsidR="0063592B" w:rsidRPr="0063592B" w:rsidRDefault="0063592B" w:rsidP="0063592B">
            <w:pPr>
              <w:jc w:val="right"/>
              <w:rPr>
                <w:rFonts w:ascii="Arial" w:hAnsi="Arial" w:cs="Arial"/>
                <w:b/>
                <w:sz w:val="17"/>
                <w:szCs w:val="17"/>
              </w:rPr>
            </w:pPr>
            <w:r w:rsidRPr="0063592B">
              <w:rPr>
                <w:rFonts w:ascii="Arial" w:hAnsi="Arial" w:cs="Arial"/>
                <w:b/>
                <w:sz w:val="17"/>
                <w:szCs w:val="17"/>
              </w:rPr>
              <w:t xml:space="preserve">13,587,798 </w:t>
            </w:r>
          </w:p>
        </w:tc>
        <w:tc>
          <w:tcPr>
            <w:tcW w:w="2180" w:type="dxa"/>
            <w:tcBorders>
              <w:top w:val="single" w:sz="4" w:space="0" w:color="auto"/>
              <w:left w:val="nil"/>
              <w:bottom w:val="single" w:sz="4" w:space="0" w:color="auto"/>
              <w:right w:val="single" w:sz="4" w:space="0" w:color="auto"/>
            </w:tcBorders>
            <w:shd w:val="clear" w:color="auto" w:fill="auto"/>
          </w:tcPr>
          <w:p w:rsidR="0063592B" w:rsidRPr="0063592B" w:rsidRDefault="0063592B" w:rsidP="0063592B">
            <w:pPr>
              <w:jc w:val="right"/>
              <w:rPr>
                <w:rFonts w:ascii="Arial" w:hAnsi="Arial" w:cs="Arial"/>
                <w:b/>
                <w:sz w:val="17"/>
                <w:szCs w:val="17"/>
              </w:rPr>
            </w:pPr>
            <w:r w:rsidRPr="0063592B">
              <w:rPr>
                <w:rFonts w:ascii="Arial" w:hAnsi="Arial" w:cs="Arial"/>
                <w:b/>
                <w:sz w:val="17"/>
                <w:szCs w:val="17"/>
              </w:rPr>
              <w:t xml:space="preserve">12,469,288 </w:t>
            </w:r>
          </w:p>
        </w:tc>
      </w:tr>
      <w:tr w:rsidR="0063592B" w:rsidRPr="002D70DA" w:rsidTr="0063592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3592B" w:rsidRPr="00C34218" w:rsidRDefault="0063592B" w:rsidP="0063592B">
            <w:pPr>
              <w:rPr>
                <w:rFonts w:ascii="Arial" w:hAnsi="Arial" w:cs="Arial"/>
                <w:b/>
                <w:sz w:val="17"/>
                <w:szCs w:val="17"/>
              </w:rPr>
            </w:pPr>
            <w:r w:rsidRPr="00C34218">
              <w:rPr>
                <w:rFonts w:ascii="Arial" w:hAnsi="Arial" w:cs="Arial"/>
                <w:b/>
                <w:sz w:val="17"/>
                <w:szCs w:val="17"/>
              </w:rPr>
              <w:t>Órganos Autónomos</w:t>
            </w:r>
          </w:p>
        </w:tc>
        <w:tc>
          <w:tcPr>
            <w:tcW w:w="2180" w:type="dxa"/>
            <w:tcBorders>
              <w:top w:val="single" w:sz="4" w:space="0" w:color="auto"/>
              <w:left w:val="nil"/>
              <w:bottom w:val="single" w:sz="4" w:space="0" w:color="auto"/>
              <w:right w:val="single" w:sz="4" w:space="0" w:color="auto"/>
            </w:tcBorders>
            <w:shd w:val="clear" w:color="auto" w:fill="auto"/>
          </w:tcPr>
          <w:p w:rsidR="0063592B" w:rsidRPr="0063592B" w:rsidRDefault="0063592B" w:rsidP="0063592B">
            <w:pPr>
              <w:jc w:val="right"/>
              <w:rPr>
                <w:rFonts w:ascii="Arial" w:hAnsi="Arial" w:cs="Arial"/>
                <w:b/>
                <w:sz w:val="17"/>
                <w:szCs w:val="17"/>
              </w:rPr>
            </w:pPr>
            <w:r w:rsidRPr="0063592B">
              <w:rPr>
                <w:rFonts w:ascii="Arial" w:hAnsi="Arial" w:cs="Arial"/>
                <w:b/>
                <w:sz w:val="17"/>
                <w:szCs w:val="17"/>
              </w:rPr>
              <w:t xml:space="preserve">47,234,482 </w:t>
            </w:r>
          </w:p>
        </w:tc>
        <w:tc>
          <w:tcPr>
            <w:tcW w:w="2180" w:type="dxa"/>
            <w:tcBorders>
              <w:top w:val="single" w:sz="4" w:space="0" w:color="auto"/>
              <w:left w:val="nil"/>
              <w:bottom w:val="single" w:sz="4" w:space="0" w:color="auto"/>
              <w:right w:val="single" w:sz="4" w:space="0" w:color="auto"/>
            </w:tcBorders>
            <w:shd w:val="clear" w:color="auto" w:fill="auto"/>
          </w:tcPr>
          <w:p w:rsidR="0063592B" w:rsidRPr="0063592B" w:rsidRDefault="0063592B" w:rsidP="0063592B">
            <w:pPr>
              <w:jc w:val="right"/>
              <w:rPr>
                <w:rFonts w:ascii="Arial" w:hAnsi="Arial" w:cs="Arial"/>
                <w:b/>
                <w:sz w:val="17"/>
                <w:szCs w:val="17"/>
              </w:rPr>
            </w:pPr>
            <w:r w:rsidRPr="0063592B">
              <w:rPr>
                <w:rFonts w:ascii="Arial" w:hAnsi="Arial" w:cs="Arial"/>
                <w:b/>
                <w:sz w:val="17"/>
                <w:szCs w:val="17"/>
              </w:rPr>
              <w:t xml:space="preserve">45,017,042 </w:t>
            </w:r>
          </w:p>
        </w:tc>
      </w:tr>
      <w:tr w:rsidR="0063592B" w:rsidRPr="002D70DA" w:rsidTr="0063592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3592B" w:rsidRPr="00C34218" w:rsidRDefault="0063592B" w:rsidP="0063592B">
            <w:pPr>
              <w:ind w:left="497"/>
              <w:rPr>
                <w:rFonts w:ascii="Arial" w:hAnsi="Arial" w:cs="Arial"/>
                <w:sz w:val="17"/>
                <w:szCs w:val="17"/>
              </w:rPr>
            </w:pPr>
            <w:r w:rsidRPr="00C34218">
              <w:rPr>
                <w:rFonts w:ascii="Arial" w:hAnsi="Arial" w:cs="Arial"/>
                <w:sz w:val="17"/>
                <w:szCs w:val="17"/>
              </w:rPr>
              <w:t>Comisión de Transparencia y Acceso a la</w:t>
            </w:r>
          </w:p>
          <w:p w:rsidR="0063592B" w:rsidRPr="00560A6D" w:rsidRDefault="0063592B" w:rsidP="0063592B">
            <w:pPr>
              <w:ind w:left="497"/>
              <w:rPr>
                <w:rFonts w:ascii="Arial" w:hAnsi="Arial" w:cs="Arial"/>
                <w:sz w:val="17"/>
                <w:szCs w:val="17"/>
              </w:rPr>
            </w:pPr>
            <w:r w:rsidRPr="00C34218">
              <w:rPr>
                <w:rFonts w:ascii="Arial" w:hAnsi="Arial" w:cs="Arial"/>
                <w:sz w:val="17"/>
                <w:szCs w:val="17"/>
              </w:rPr>
              <w:t>Información Pública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63592B" w:rsidRPr="0063592B" w:rsidRDefault="0063592B" w:rsidP="0063592B">
            <w:pPr>
              <w:jc w:val="right"/>
              <w:rPr>
                <w:rFonts w:ascii="Arial" w:hAnsi="Arial" w:cs="Arial"/>
                <w:sz w:val="17"/>
                <w:szCs w:val="17"/>
              </w:rPr>
            </w:pPr>
            <w:r w:rsidRPr="0063592B">
              <w:rPr>
                <w:rFonts w:ascii="Arial" w:hAnsi="Arial" w:cs="Arial"/>
                <w:sz w:val="17"/>
                <w:szCs w:val="17"/>
              </w:rPr>
              <w:t xml:space="preserve">403,714 </w:t>
            </w:r>
          </w:p>
        </w:tc>
        <w:tc>
          <w:tcPr>
            <w:tcW w:w="2180" w:type="dxa"/>
            <w:tcBorders>
              <w:top w:val="single" w:sz="4" w:space="0" w:color="auto"/>
              <w:left w:val="nil"/>
              <w:bottom w:val="single" w:sz="4" w:space="0" w:color="auto"/>
              <w:right w:val="single" w:sz="4" w:space="0" w:color="auto"/>
            </w:tcBorders>
            <w:shd w:val="clear" w:color="auto" w:fill="auto"/>
          </w:tcPr>
          <w:p w:rsidR="0063592B" w:rsidRPr="0063592B" w:rsidRDefault="0063592B" w:rsidP="0063592B">
            <w:pPr>
              <w:jc w:val="right"/>
              <w:rPr>
                <w:rFonts w:ascii="Arial" w:hAnsi="Arial" w:cs="Arial"/>
                <w:sz w:val="17"/>
                <w:szCs w:val="17"/>
              </w:rPr>
            </w:pPr>
            <w:r w:rsidRPr="0063592B">
              <w:rPr>
                <w:rFonts w:ascii="Arial" w:hAnsi="Arial" w:cs="Arial"/>
                <w:sz w:val="17"/>
                <w:szCs w:val="17"/>
              </w:rPr>
              <w:t xml:space="preserve">355,966 </w:t>
            </w:r>
          </w:p>
        </w:tc>
      </w:tr>
      <w:tr w:rsidR="0063592B" w:rsidRPr="002D70DA" w:rsidTr="0063592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3592B" w:rsidRPr="00560A6D" w:rsidRDefault="0063592B" w:rsidP="0063592B">
            <w:pPr>
              <w:ind w:left="497"/>
              <w:rPr>
                <w:rFonts w:ascii="Arial" w:hAnsi="Arial" w:cs="Arial"/>
                <w:sz w:val="17"/>
                <w:szCs w:val="17"/>
              </w:rPr>
            </w:pPr>
            <w:r w:rsidRPr="00C34218">
              <w:rPr>
                <w:rFonts w:ascii="Arial" w:hAnsi="Arial" w:cs="Arial"/>
                <w:sz w:val="17"/>
                <w:szCs w:val="17"/>
              </w:rPr>
              <w:t>Defensoría de los Derechos Humanos de Querétaro</w:t>
            </w:r>
          </w:p>
        </w:tc>
        <w:tc>
          <w:tcPr>
            <w:tcW w:w="2180" w:type="dxa"/>
            <w:tcBorders>
              <w:top w:val="single" w:sz="4" w:space="0" w:color="auto"/>
              <w:left w:val="nil"/>
              <w:bottom w:val="single" w:sz="4" w:space="0" w:color="auto"/>
              <w:right w:val="single" w:sz="4" w:space="0" w:color="auto"/>
            </w:tcBorders>
            <w:shd w:val="clear" w:color="auto" w:fill="auto"/>
          </w:tcPr>
          <w:p w:rsidR="0063592B" w:rsidRPr="0063592B" w:rsidRDefault="0063592B" w:rsidP="0063592B">
            <w:pPr>
              <w:jc w:val="right"/>
              <w:rPr>
                <w:rFonts w:ascii="Arial" w:hAnsi="Arial" w:cs="Arial"/>
                <w:sz w:val="17"/>
                <w:szCs w:val="17"/>
              </w:rPr>
            </w:pPr>
            <w:r w:rsidRPr="0063592B">
              <w:rPr>
                <w:rFonts w:ascii="Arial" w:hAnsi="Arial" w:cs="Arial"/>
                <w:sz w:val="17"/>
                <w:szCs w:val="17"/>
              </w:rPr>
              <w:t xml:space="preserve">437,328 </w:t>
            </w:r>
          </w:p>
        </w:tc>
        <w:tc>
          <w:tcPr>
            <w:tcW w:w="2180" w:type="dxa"/>
            <w:tcBorders>
              <w:top w:val="single" w:sz="4" w:space="0" w:color="auto"/>
              <w:left w:val="nil"/>
              <w:bottom w:val="single" w:sz="4" w:space="0" w:color="auto"/>
              <w:right w:val="single" w:sz="4" w:space="0" w:color="auto"/>
            </w:tcBorders>
            <w:shd w:val="clear" w:color="auto" w:fill="auto"/>
          </w:tcPr>
          <w:p w:rsidR="0063592B" w:rsidRPr="0063592B" w:rsidRDefault="0063592B" w:rsidP="0063592B">
            <w:pPr>
              <w:jc w:val="right"/>
              <w:rPr>
                <w:rFonts w:ascii="Arial" w:hAnsi="Arial" w:cs="Arial"/>
                <w:sz w:val="17"/>
                <w:szCs w:val="17"/>
              </w:rPr>
            </w:pPr>
            <w:r w:rsidRPr="0063592B">
              <w:rPr>
                <w:rFonts w:ascii="Arial" w:hAnsi="Arial" w:cs="Arial"/>
                <w:sz w:val="17"/>
                <w:szCs w:val="17"/>
              </w:rPr>
              <w:t xml:space="preserve">358,040 </w:t>
            </w:r>
          </w:p>
        </w:tc>
      </w:tr>
      <w:tr w:rsidR="0063592B" w:rsidRPr="002D70DA" w:rsidTr="0063592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3592B" w:rsidRPr="00C34218" w:rsidRDefault="0063592B" w:rsidP="0063592B">
            <w:pPr>
              <w:ind w:left="497"/>
              <w:rPr>
                <w:rFonts w:ascii="Arial" w:hAnsi="Arial" w:cs="Arial"/>
                <w:sz w:val="17"/>
                <w:szCs w:val="17"/>
              </w:rPr>
            </w:pPr>
            <w:r w:rsidRPr="00C34218">
              <w:rPr>
                <w:rFonts w:ascii="Arial" w:hAnsi="Arial" w:cs="Arial"/>
                <w:sz w:val="17"/>
                <w:szCs w:val="17"/>
              </w:rPr>
              <w:t>Entidad Superior de Fiscalización del Estado de</w:t>
            </w:r>
          </w:p>
          <w:p w:rsidR="0063592B" w:rsidRPr="00C34218" w:rsidRDefault="0063592B" w:rsidP="0063592B">
            <w:pPr>
              <w:ind w:left="497"/>
              <w:rPr>
                <w:rFonts w:ascii="Arial" w:hAnsi="Arial" w:cs="Arial"/>
                <w:sz w:val="17"/>
                <w:szCs w:val="17"/>
              </w:rPr>
            </w:pPr>
            <w:r w:rsidRPr="00C34218">
              <w:rPr>
                <w:rFonts w:ascii="Arial" w:hAnsi="Arial" w:cs="Arial"/>
                <w:sz w:val="17"/>
                <w:szCs w:val="17"/>
              </w:rPr>
              <w:t>Querétaro</w:t>
            </w:r>
          </w:p>
        </w:tc>
        <w:tc>
          <w:tcPr>
            <w:tcW w:w="2180" w:type="dxa"/>
            <w:tcBorders>
              <w:top w:val="single" w:sz="4" w:space="0" w:color="auto"/>
              <w:left w:val="nil"/>
              <w:bottom w:val="single" w:sz="4" w:space="0" w:color="auto"/>
              <w:right w:val="single" w:sz="4" w:space="0" w:color="auto"/>
            </w:tcBorders>
            <w:shd w:val="clear" w:color="auto" w:fill="auto"/>
          </w:tcPr>
          <w:p w:rsidR="0063592B" w:rsidRPr="0063592B" w:rsidRDefault="0063592B" w:rsidP="0063592B">
            <w:pPr>
              <w:jc w:val="right"/>
              <w:rPr>
                <w:rFonts w:ascii="Arial" w:hAnsi="Arial" w:cs="Arial"/>
                <w:sz w:val="17"/>
                <w:szCs w:val="17"/>
              </w:rPr>
            </w:pPr>
            <w:r w:rsidRPr="0063592B">
              <w:rPr>
                <w:rFonts w:ascii="Arial" w:hAnsi="Arial" w:cs="Arial"/>
                <w:sz w:val="17"/>
                <w:szCs w:val="17"/>
              </w:rPr>
              <w:t xml:space="preserve">1,412,059 </w:t>
            </w:r>
          </w:p>
        </w:tc>
        <w:tc>
          <w:tcPr>
            <w:tcW w:w="2180" w:type="dxa"/>
            <w:tcBorders>
              <w:top w:val="single" w:sz="4" w:space="0" w:color="auto"/>
              <w:left w:val="nil"/>
              <w:bottom w:val="single" w:sz="4" w:space="0" w:color="auto"/>
              <w:right w:val="single" w:sz="4" w:space="0" w:color="auto"/>
            </w:tcBorders>
            <w:shd w:val="clear" w:color="auto" w:fill="auto"/>
          </w:tcPr>
          <w:p w:rsidR="0063592B" w:rsidRPr="0063592B" w:rsidRDefault="0063592B" w:rsidP="0063592B">
            <w:pPr>
              <w:jc w:val="right"/>
              <w:rPr>
                <w:rFonts w:ascii="Arial" w:hAnsi="Arial" w:cs="Arial"/>
                <w:sz w:val="17"/>
                <w:szCs w:val="17"/>
              </w:rPr>
            </w:pPr>
            <w:r w:rsidRPr="0063592B">
              <w:rPr>
                <w:rFonts w:ascii="Arial" w:hAnsi="Arial" w:cs="Arial"/>
                <w:sz w:val="17"/>
                <w:szCs w:val="17"/>
              </w:rPr>
              <w:t xml:space="preserve">1,235,373 </w:t>
            </w:r>
          </w:p>
        </w:tc>
      </w:tr>
      <w:tr w:rsidR="0063592B" w:rsidRPr="002D70DA" w:rsidTr="0063592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3592B" w:rsidRPr="00C34218" w:rsidRDefault="0063592B" w:rsidP="0063592B">
            <w:pPr>
              <w:ind w:left="497"/>
              <w:rPr>
                <w:rFonts w:ascii="Arial" w:hAnsi="Arial" w:cs="Arial"/>
                <w:sz w:val="17"/>
                <w:szCs w:val="17"/>
              </w:rPr>
            </w:pPr>
            <w:r w:rsidRPr="00C34218">
              <w:rPr>
                <w:rFonts w:ascii="Arial" w:hAnsi="Arial" w:cs="Arial"/>
                <w:sz w:val="17"/>
                <w:szCs w:val="17"/>
              </w:rPr>
              <w:t>Fiscalía General del Estado</w:t>
            </w:r>
          </w:p>
        </w:tc>
        <w:tc>
          <w:tcPr>
            <w:tcW w:w="2180" w:type="dxa"/>
            <w:tcBorders>
              <w:top w:val="single" w:sz="4" w:space="0" w:color="auto"/>
              <w:left w:val="nil"/>
              <w:bottom w:val="single" w:sz="4" w:space="0" w:color="auto"/>
              <w:right w:val="single" w:sz="4" w:space="0" w:color="auto"/>
            </w:tcBorders>
            <w:shd w:val="clear" w:color="auto" w:fill="auto"/>
          </w:tcPr>
          <w:p w:rsidR="0063592B" w:rsidRPr="0063592B" w:rsidRDefault="0063592B" w:rsidP="0063592B">
            <w:pPr>
              <w:jc w:val="right"/>
              <w:rPr>
                <w:rFonts w:ascii="Arial" w:hAnsi="Arial" w:cs="Arial"/>
                <w:sz w:val="17"/>
                <w:szCs w:val="17"/>
              </w:rPr>
            </w:pPr>
            <w:r w:rsidRPr="0063592B">
              <w:rPr>
                <w:rFonts w:ascii="Arial" w:hAnsi="Arial" w:cs="Arial"/>
                <w:sz w:val="17"/>
                <w:szCs w:val="17"/>
              </w:rPr>
              <w:t xml:space="preserve">42,916,029 </w:t>
            </w:r>
          </w:p>
        </w:tc>
        <w:tc>
          <w:tcPr>
            <w:tcW w:w="2180" w:type="dxa"/>
            <w:tcBorders>
              <w:top w:val="single" w:sz="4" w:space="0" w:color="auto"/>
              <w:left w:val="nil"/>
              <w:bottom w:val="single" w:sz="4" w:space="0" w:color="auto"/>
              <w:right w:val="single" w:sz="4" w:space="0" w:color="auto"/>
            </w:tcBorders>
            <w:shd w:val="clear" w:color="auto" w:fill="auto"/>
          </w:tcPr>
          <w:p w:rsidR="0063592B" w:rsidRPr="0063592B" w:rsidRDefault="0063592B" w:rsidP="0063592B">
            <w:pPr>
              <w:jc w:val="right"/>
              <w:rPr>
                <w:rFonts w:ascii="Arial" w:hAnsi="Arial" w:cs="Arial"/>
                <w:sz w:val="17"/>
                <w:szCs w:val="17"/>
              </w:rPr>
            </w:pPr>
            <w:r w:rsidRPr="0063592B">
              <w:rPr>
                <w:rFonts w:ascii="Arial" w:hAnsi="Arial" w:cs="Arial"/>
                <w:sz w:val="17"/>
                <w:szCs w:val="17"/>
              </w:rPr>
              <w:t xml:space="preserve">41,104,168 </w:t>
            </w:r>
          </w:p>
        </w:tc>
      </w:tr>
      <w:tr w:rsidR="0063592B" w:rsidRPr="002D70DA" w:rsidTr="0063592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3592B" w:rsidRPr="00560A6D" w:rsidRDefault="0063592B" w:rsidP="0063592B">
            <w:pPr>
              <w:ind w:left="497"/>
              <w:rPr>
                <w:rFonts w:ascii="Arial" w:hAnsi="Arial" w:cs="Arial"/>
                <w:sz w:val="17"/>
                <w:szCs w:val="17"/>
              </w:rPr>
            </w:pPr>
            <w:r w:rsidRPr="00C34218">
              <w:rPr>
                <w:rFonts w:ascii="Arial" w:hAnsi="Arial" w:cs="Arial"/>
                <w:sz w:val="17"/>
                <w:szCs w:val="17"/>
              </w:rPr>
              <w:t>Instituto Electoral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63592B" w:rsidRPr="0063592B" w:rsidRDefault="0063592B" w:rsidP="0063592B">
            <w:pPr>
              <w:jc w:val="right"/>
              <w:rPr>
                <w:rFonts w:ascii="Arial" w:hAnsi="Arial" w:cs="Arial"/>
                <w:sz w:val="17"/>
                <w:szCs w:val="17"/>
              </w:rPr>
            </w:pPr>
            <w:r w:rsidRPr="0063592B">
              <w:rPr>
                <w:rFonts w:ascii="Arial" w:hAnsi="Arial" w:cs="Arial"/>
                <w:sz w:val="17"/>
                <w:szCs w:val="17"/>
              </w:rPr>
              <w:t xml:space="preserve">1,488,922 </w:t>
            </w:r>
          </w:p>
        </w:tc>
        <w:tc>
          <w:tcPr>
            <w:tcW w:w="2180" w:type="dxa"/>
            <w:tcBorders>
              <w:top w:val="single" w:sz="4" w:space="0" w:color="auto"/>
              <w:left w:val="nil"/>
              <w:bottom w:val="single" w:sz="4" w:space="0" w:color="auto"/>
              <w:right w:val="single" w:sz="4" w:space="0" w:color="auto"/>
            </w:tcBorders>
            <w:shd w:val="clear" w:color="auto" w:fill="auto"/>
          </w:tcPr>
          <w:p w:rsidR="0063592B" w:rsidRPr="0063592B" w:rsidRDefault="0063592B" w:rsidP="0063592B">
            <w:pPr>
              <w:jc w:val="right"/>
              <w:rPr>
                <w:rFonts w:ascii="Arial" w:hAnsi="Arial" w:cs="Arial"/>
                <w:sz w:val="17"/>
                <w:szCs w:val="17"/>
              </w:rPr>
            </w:pPr>
            <w:r w:rsidRPr="0063592B">
              <w:rPr>
                <w:rFonts w:ascii="Arial" w:hAnsi="Arial" w:cs="Arial"/>
                <w:sz w:val="17"/>
                <w:szCs w:val="17"/>
              </w:rPr>
              <w:t xml:space="preserve">1,565,500 </w:t>
            </w:r>
          </w:p>
        </w:tc>
      </w:tr>
      <w:tr w:rsidR="0063592B" w:rsidRPr="002D70DA" w:rsidTr="0063592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3592B" w:rsidRPr="00C34218" w:rsidRDefault="0063592B" w:rsidP="0063592B">
            <w:pPr>
              <w:ind w:left="497"/>
              <w:rPr>
                <w:rFonts w:ascii="Arial" w:hAnsi="Arial" w:cs="Arial"/>
                <w:sz w:val="17"/>
                <w:szCs w:val="17"/>
              </w:rPr>
            </w:pPr>
            <w:r w:rsidRPr="00C34218">
              <w:rPr>
                <w:rFonts w:ascii="Arial" w:hAnsi="Arial" w:cs="Arial"/>
                <w:sz w:val="17"/>
                <w:szCs w:val="17"/>
              </w:rPr>
              <w:t>Tribunal de Conciliación y Arbitraje</w:t>
            </w:r>
          </w:p>
        </w:tc>
        <w:tc>
          <w:tcPr>
            <w:tcW w:w="2180" w:type="dxa"/>
            <w:tcBorders>
              <w:top w:val="single" w:sz="4" w:space="0" w:color="auto"/>
              <w:left w:val="nil"/>
              <w:bottom w:val="single" w:sz="4" w:space="0" w:color="auto"/>
              <w:right w:val="single" w:sz="4" w:space="0" w:color="auto"/>
            </w:tcBorders>
            <w:shd w:val="clear" w:color="auto" w:fill="auto"/>
          </w:tcPr>
          <w:p w:rsidR="0063592B" w:rsidRPr="0063592B" w:rsidRDefault="0063592B" w:rsidP="0063592B">
            <w:pPr>
              <w:jc w:val="right"/>
              <w:rPr>
                <w:rFonts w:ascii="Arial" w:hAnsi="Arial" w:cs="Arial"/>
                <w:sz w:val="17"/>
                <w:szCs w:val="17"/>
              </w:rPr>
            </w:pPr>
            <w:r w:rsidRPr="0063592B">
              <w:rPr>
                <w:rFonts w:ascii="Arial" w:hAnsi="Arial" w:cs="Arial"/>
                <w:sz w:val="17"/>
                <w:szCs w:val="17"/>
              </w:rPr>
              <w:t xml:space="preserve">1 </w:t>
            </w:r>
          </w:p>
        </w:tc>
        <w:tc>
          <w:tcPr>
            <w:tcW w:w="2180" w:type="dxa"/>
            <w:tcBorders>
              <w:top w:val="single" w:sz="4" w:space="0" w:color="auto"/>
              <w:left w:val="nil"/>
              <w:bottom w:val="single" w:sz="4" w:space="0" w:color="auto"/>
              <w:right w:val="single" w:sz="4" w:space="0" w:color="auto"/>
            </w:tcBorders>
            <w:shd w:val="clear" w:color="auto" w:fill="auto"/>
          </w:tcPr>
          <w:p w:rsidR="0063592B" w:rsidRPr="0063592B" w:rsidRDefault="0063592B" w:rsidP="0063592B">
            <w:pPr>
              <w:jc w:val="right"/>
              <w:rPr>
                <w:rFonts w:ascii="Arial" w:hAnsi="Arial" w:cs="Arial"/>
                <w:sz w:val="17"/>
                <w:szCs w:val="17"/>
              </w:rPr>
            </w:pPr>
            <w:r w:rsidRPr="0063592B">
              <w:rPr>
                <w:rFonts w:ascii="Arial" w:hAnsi="Arial" w:cs="Arial"/>
                <w:sz w:val="17"/>
                <w:szCs w:val="17"/>
              </w:rPr>
              <w:t xml:space="preserve">-1 </w:t>
            </w:r>
          </w:p>
        </w:tc>
      </w:tr>
      <w:tr w:rsidR="0063592B" w:rsidRPr="002D70DA" w:rsidTr="0063592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3592B" w:rsidRPr="00C34218" w:rsidRDefault="0063592B" w:rsidP="0063592B">
            <w:pPr>
              <w:ind w:left="497"/>
              <w:rPr>
                <w:rFonts w:ascii="Arial" w:hAnsi="Arial" w:cs="Arial"/>
                <w:sz w:val="17"/>
                <w:szCs w:val="17"/>
              </w:rPr>
            </w:pPr>
            <w:r w:rsidRPr="00C34218">
              <w:rPr>
                <w:rFonts w:ascii="Arial" w:hAnsi="Arial" w:cs="Arial"/>
                <w:sz w:val="17"/>
                <w:szCs w:val="17"/>
              </w:rPr>
              <w:t>Tribunal de Justicia Administrativa del Estado de</w:t>
            </w:r>
          </w:p>
          <w:p w:rsidR="0063592B" w:rsidRPr="00560A6D" w:rsidRDefault="0063592B" w:rsidP="0063592B">
            <w:pPr>
              <w:ind w:left="497"/>
              <w:rPr>
                <w:rFonts w:ascii="Arial" w:hAnsi="Arial" w:cs="Arial"/>
                <w:sz w:val="17"/>
                <w:szCs w:val="17"/>
              </w:rPr>
            </w:pPr>
            <w:r w:rsidRPr="00C34218">
              <w:rPr>
                <w:rFonts w:ascii="Arial" w:hAnsi="Arial" w:cs="Arial"/>
                <w:sz w:val="17"/>
                <w:szCs w:val="17"/>
              </w:rPr>
              <w:t>Querétaro</w:t>
            </w:r>
          </w:p>
        </w:tc>
        <w:tc>
          <w:tcPr>
            <w:tcW w:w="2180" w:type="dxa"/>
            <w:tcBorders>
              <w:top w:val="single" w:sz="4" w:space="0" w:color="auto"/>
              <w:left w:val="nil"/>
              <w:bottom w:val="single" w:sz="4" w:space="0" w:color="auto"/>
              <w:right w:val="single" w:sz="4" w:space="0" w:color="auto"/>
            </w:tcBorders>
            <w:shd w:val="clear" w:color="auto" w:fill="auto"/>
          </w:tcPr>
          <w:p w:rsidR="0063592B" w:rsidRPr="0063592B" w:rsidRDefault="0063592B" w:rsidP="0063592B">
            <w:pPr>
              <w:jc w:val="right"/>
              <w:rPr>
                <w:rFonts w:ascii="Arial" w:hAnsi="Arial" w:cs="Arial"/>
                <w:sz w:val="17"/>
                <w:szCs w:val="17"/>
              </w:rPr>
            </w:pPr>
            <w:r w:rsidRPr="0063592B">
              <w:rPr>
                <w:rFonts w:ascii="Arial" w:hAnsi="Arial" w:cs="Arial"/>
                <w:sz w:val="17"/>
                <w:szCs w:val="17"/>
              </w:rPr>
              <w:t xml:space="preserve">302,497 </w:t>
            </w:r>
          </w:p>
        </w:tc>
        <w:tc>
          <w:tcPr>
            <w:tcW w:w="2180" w:type="dxa"/>
            <w:tcBorders>
              <w:top w:val="single" w:sz="4" w:space="0" w:color="auto"/>
              <w:left w:val="nil"/>
              <w:bottom w:val="single" w:sz="4" w:space="0" w:color="auto"/>
              <w:right w:val="single" w:sz="4" w:space="0" w:color="auto"/>
            </w:tcBorders>
            <w:shd w:val="clear" w:color="auto" w:fill="auto"/>
          </w:tcPr>
          <w:p w:rsidR="0063592B" w:rsidRPr="0063592B" w:rsidRDefault="0063592B" w:rsidP="0063592B">
            <w:pPr>
              <w:jc w:val="right"/>
              <w:rPr>
                <w:rFonts w:ascii="Arial" w:hAnsi="Arial" w:cs="Arial"/>
                <w:sz w:val="17"/>
                <w:szCs w:val="17"/>
              </w:rPr>
            </w:pPr>
            <w:r w:rsidRPr="0063592B">
              <w:rPr>
                <w:rFonts w:ascii="Arial" w:hAnsi="Arial" w:cs="Arial"/>
                <w:sz w:val="17"/>
                <w:szCs w:val="17"/>
              </w:rPr>
              <w:t xml:space="preserve">159,139 </w:t>
            </w:r>
          </w:p>
        </w:tc>
      </w:tr>
      <w:tr w:rsidR="0063592B" w:rsidRPr="002D70DA" w:rsidTr="0063592B">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3592B" w:rsidRPr="00560A6D" w:rsidRDefault="0063592B" w:rsidP="0063592B">
            <w:pPr>
              <w:ind w:left="497"/>
              <w:rPr>
                <w:rFonts w:ascii="Arial" w:hAnsi="Arial" w:cs="Arial"/>
                <w:sz w:val="17"/>
                <w:szCs w:val="17"/>
              </w:rPr>
            </w:pPr>
            <w:r w:rsidRPr="00C34218">
              <w:rPr>
                <w:rFonts w:ascii="Arial" w:hAnsi="Arial" w:cs="Arial"/>
                <w:sz w:val="17"/>
                <w:szCs w:val="17"/>
              </w:rPr>
              <w:t>Tribunal Electoral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63592B" w:rsidRPr="0063592B" w:rsidRDefault="0063592B" w:rsidP="0063592B">
            <w:pPr>
              <w:jc w:val="right"/>
              <w:rPr>
                <w:rFonts w:ascii="Arial" w:hAnsi="Arial" w:cs="Arial"/>
                <w:sz w:val="17"/>
                <w:szCs w:val="17"/>
              </w:rPr>
            </w:pPr>
            <w:r w:rsidRPr="0063592B">
              <w:rPr>
                <w:rFonts w:ascii="Arial" w:hAnsi="Arial" w:cs="Arial"/>
                <w:sz w:val="17"/>
                <w:szCs w:val="17"/>
              </w:rPr>
              <w:t xml:space="preserve">273,932 </w:t>
            </w:r>
          </w:p>
        </w:tc>
        <w:tc>
          <w:tcPr>
            <w:tcW w:w="2180" w:type="dxa"/>
            <w:tcBorders>
              <w:top w:val="single" w:sz="4" w:space="0" w:color="auto"/>
              <w:left w:val="nil"/>
              <w:bottom w:val="single" w:sz="4" w:space="0" w:color="auto"/>
              <w:right w:val="single" w:sz="4" w:space="0" w:color="auto"/>
            </w:tcBorders>
            <w:shd w:val="clear" w:color="auto" w:fill="auto"/>
          </w:tcPr>
          <w:p w:rsidR="0063592B" w:rsidRPr="0063592B" w:rsidRDefault="0063592B" w:rsidP="0063592B">
            <w:pPr>
              <w:jc w:val="right"/>
              <w:rPr>
                <w:rFonts w:ascii="Arial" w:hAnsi="Arial" w:cs="Arial"/>
                <w:sz w:val="17"/>
                <w:szCs w:val="17"/>
              </w:rPr>
            </w:pPr>
            <w:r w:rsidRPr="0063592B">
              <w:rPr>
                <w:rFonts w:ascii="Arial" w:hAnsi="Arial" w:cs="Arial"/>
                <w:sz w:val="17"/>
                <w:szCs w:val="17"/>
              </w:rPr>
              <w:t xml:space="preserve">238,858 </w:t>
            </w:r>
          </w:p>
        </w:tc>
      </w:tr>
      <w:tr w:rsidR="0063592B" w:rsidRPr="002D70DA" w:rsidTr="0063592B">
        <w:trPr>
          <w:trHeight w:val="240"/>
          <w:jc w:val="center"/>
        </w:trPr>
        <w:tc>
          <w:tcPr>
            <w:tcW w:w="4900" w:type="dxa"/>
            <w:tcBorders>
              <w:top w:val="nil"/>
              <w:left w:val="nil"/>
              <w:bottom w:val="nil"/>
              <w:right w:val="single" w:sz="4" w:space="0" w:color="auto"/>
            </w:tcBorders>
            <w:shd w:val="clear" w:color="000000" w:fill="FFFFFF"/>
            <w:vAlign w:val="center"/>
            <w:hideMark/>
          </w:tcPr>
          <w:p w:rsidR="0063592B" w:rsidRPr="002D70DA" w:rsidRDefault="0063592B" w:rsidP="0063592B">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63592B" w:rsidRPr="006736AF" w:rsidRDefault="0063592B" w:rsidP="0063592B">
            <w:pPr>
              <w:jc w:val="right"/>
              <w:rPr>
                <w:rFonts w:ascii="Arial" w:hAnsi="Arial" w:cs="Arial"/>
                <w:b/>
                <w:sz w:val="17"/>
                <w:szCs w:val="17"/>
              </w:rPr>
            </w:pPr>
            <w:r w:rsidRPr="0063592B">
              <w:rPr>
                <w:rFonts w:ascii="Arial" w:hAnsi="Arial" w:cs="Arial"/>
                <w:b/>
                <w:sz w:val="17"/>
                <w:szCs w:val="17"/>
              </w:rPr>
              <w:t>1,476,084,924</w:t>
            </w:r>
          </w:p>
        </w:tc>
        <w:tc>
          <w:tcPr>
            <w:tcW w:w="2180" w:type="dxa"/>
            <w:tcBorders>
              <w:top w:val="nil"/>
              <w:left w:val="single" w:sz="4" w:space="0" w:color="auto"/>
              <w:bottom w:val="single" w:sz="4" w:space="0" w:color="auto"/>
              <w:right w:val="single" w:sz="4" w:space="0" w:color="auto"/>
            </w:tcBorders>
            <w:shd w:val="clear" w:color="000000" w:fill="FFFFFF"/>
          </w:tcPr>
          <w:p w:rsidR="0063592B" w:rsidRPr="0063592B" w:rsidRDefault="0063592B" w:rsidP="0063592B">
            <w:pPr>
              <w:jc w:val="right"/>
              <w:rPr>
                <w:rFonts w:ascii="Arial" w:hAnsi="Arial" w:cs="Arial"/>
                <w:b/>
                <w:sz w:val="17"/>
                <w:szCs w:val="17"/>
              </w:rPr>
            </w:pPr>
            <w:r w:rsidRPr="0063592B">
              <w:rPr>
                <w:rFonts w:ascii="Arial" w:hAnsi="Arial" w:cs="Arial"/>
                <w:b/>
                <w:sz w:val="17"/>
                <w:szCs w:val="17"/>
              </w:rPr>
              <w:t xml:space="preserve">1,811,815,022 </w:t>
            </w:r>
          </w:p>
        </w:tc>
      </w:tr>
    </w:tbl>
    <w:p w:rsidR="006637C5" w:rsidRDefault="006637C5" w:rsidP="00EA1982">
      <w:pPr>
        <w:autoSpaceDE w:val="0"/>
        <w:autoSpaceDN w:val="0"/>
        <w:adjustRightInd w:val="0"/>
        <w:spacing w:before="240" w:after="120"/>
        <w:ind w:left="709"/>
        <w:rPr>
          <w:rFonts w:ascii="Arial" w:eastAsia="Calibri" w:hAnsi="Arial" w:cs="Arial"/>
          <w:spacing w:val="-1"/>
          <w:sz w:val="17"/>
          <w:szCs w:val="17"/>
        </w:rPr>
      </w:pPr>
    </w:p>
    <w:p w:rsidR="003C5F89" w:rsidRDefault="003C5F89" w:rsidP="003C5F89">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El rubro de Inversión Pública está distribuido de la siguiente manera:</w:t>
      </w:r>
    </w:p>
    <w:p w:rsidR="003C5F89" w:rsidRPr="002D70DA" w:rsidRDefault="003C5F89" w:rsidP="003C5F89">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3C5F89" w:rsidRPr="002D70DA" w:rsidTr="00D9060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C5F89" w:rsidRPr="002D70DA" w:rsidRDefault="003C5F89" w:rsidP="009831D5">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3C5F89" w:rsidRPr="002D70DA" w:rsidRDefault="00FD7D84" w:rsidP="009831D5">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3C5F89" w:rsidRPr="002D70DA" w:rsidRDefault="00FD7D84" w:rsidP="009831D5">
            <w:pPr>
              <w:jc w:val="center"/>
              <w:rPr>
                <w:rFonts w:ascii="Arial" w:hAnsi="Arial" w:cs="Arial"/>
                <w:b/>
                <w:bCs/>
                <w:color w:val="000000"/>
                <w:sz w:val="17"/>
                <w:szCs w:val="17"/>
              </w:rPr>
            </w:pPr>
            <w:r>
              <w:rPr>
                <w:rFonts w:ascii="Arial" w:hAnsi="Arial" w:cs="Arial"/>
                <w:b/>
                <w:bCs/>
                <w:color w:val="000000"/>
                <w:sz w:val="17"/>
                <w:szCs w:val="17"/>
              </w:rPr>
              <w:t>2019</w:t>
            </w:r>
          </w:p>
        </w:tc>
      </w:tr>
      <w:tr w:rsidR="00D90602" w:rsidRPr="002D70DA" w:rsidTr="00D9060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90602" w:rsidRPr="00C34218" w:rsidRDefault="00D90602" w:rsidP="00D90602">
            <w:pPr>
              <w:rPr>
                <w:rFonts w:ascii="Arial" w:hAnsi="Arial" w:cs="Arial"/>
                <w:b/>
                <w:sz w:val="17"/>
                <w:szCs w:val="17"/>
              </w:rPr>
            </w:pPr>
            <w:r w:rsidRPr="00C34218">
              <w:rPr>
                <w:rFonts w:ascii="Arial" w:hAnsi="Arial" w:cs="Arial"/>
                <w:b/>
                <w:sz w:val="17"/>
                <w:szCs w:val="17"/>
              </w:rPr>
              <w:t>Poder Ejecutivo</w:t>
            </w:r>
          </w:p>
        </w:tc>
        <w:tc>
          <w:tcPr>
            <w:tcW w:w="2180" w:type="dxa"/>
            <w:tcBorders>
              <w:top w:val="single" w:sz="4" w:space="0" w:color="auto"/>
              <w:left w:val="nil"/>
              <w:bottom w:val="single" w:sz="4" w:space="0" w:color="auto"/>
              <w:right w:val="single" w:sz="4" w:space="0" w:color="auto"/>
            </w:tcBorders>
            <w:shd w:val="clear" w:color="auto" w:fill="auto"/>
          </w:tcPr>
          <w:p w:rsidR="00D90602" w:rsidRPr="00D90602" w:rsidRDefault="00D90602" w:rsidP="00D90602">
            <w:pPr>
              <w:jc w:val="right"/>
              <w:rPr>
                <w:rFonts w:ascii="Arial" w:hAnsi="Arial" w:cs="Arial"/>
                <w:b/>
                <w:sz w:val="17"/>
                <w:szCs w:val="17"/>
              </w:rPr>
            </w:pPr>
            <w:r w:rsidRPr="00D90602">
              <w:rPr>
                <w:rFonts w:ascii="Arial" w:hAnsi="Arial" w:cs="Arial"/>
                <w:b/>
                <w:sz w:val="17"/>
                <w:szCs w:val="17"/>
              </w:rPr>
              <w:t>657,909,653</w:t>
            </w:r>
          </w:p>
        </w:tc>
        <w:tc>
          <w:tcPr>
            <w:tcW w:w="2180" w:type="dxa"/>
            <w:tcBorders>
              <w:top w:val="single" w:sz="4" w:space="0" w:color="auto"/>
              <w:left w:val="nil"/>
              <w:bottom w:val="single" w:sz="4" w:space="0" w:color="auto"/>
              <w:right w:val="single" w:sz="4" w:space="0" w:color="auto"/>
            </w:tcBorders>
            <w:shd w:val="clear" w:color="auto" w:fill="auto"/>
          </w:tcPr>
          <w:p w:rsidR="00D90602" w:rsidRPr="00D90602" w:rsidRDefault="00D90602" w:rsidP="00D90602">
            <w:pPr>
              <w:jc w:val="right"/>
              <w:rPr>
                <w:rFonts w:ascii="Arial" w:hAnsi="Arial" w:cs="Arial"/>
                <w:b/>
                <w:sz w:val="17"/>
                <w:szCs w:val="17"/>
              </w:rPr>
            </w:pPr>
            <w:r w:rsidRPr="00D90602">
              <w:rPr>
                <w:rFonts w:ascii="Arial" w:hAnsi="Arial" w:cs="Arial"/>
                <w:b/>
                <w:sz w:val="17"/>
                <w:szCs w:val="17"/>
              </w:rPr>
              <w:t xml:space="preserve">963,028,796 </w:t>
            </w:r>
          </w:p>
        </w:tc>
      </w:tr>
    </w:tbl>
    <w:p w:rsidR="003C5F89" w:rsidRDefault="003C5F89" w:rsidP="003C5F89">
      <w:pPr>
        <w:autoSpaceDE w:val="0"/>
        <w:autoSpaceDN w:val="0"/>
        <w:adjustRightInd w:val="0"/>
        <w:spacing w:before="240" w:after="120"/>
        <w:ind w:left="709"/>
        <w:rPr>
          <w:rFonts w:ascii="Arial" w:eastAsia="Calibri" w:hAnsi="Arial" w:cs="Arial"/>
          <w:spacing w:val="-1"/>
          <w:sz w:val="17"/>
          <w:szCs w:val="17"/>
        </w:rPr>
      </w:pPr>
    </w:p>
    <w:p w:rsidR="00EA1982" w:rsidRDefault="00EA1982">
      <w:pPr>
        <w:rPr>
          <w:rFonts w:ascii="Arial" w:eastAsia="Calibri" w:hAnsi="Arial" w:cs="Arial"/>
          <w:spacing w:val="-1"/>
          <w:sz w:val="17"/>
          <w:szCs w:val="17"/>
        </w:rPr>
      </w:pPr>
    </w:p>
    <w:p w:rsidR="00245E5E" w:rsidRDefault="00245E5E">
      <w:pPr>
        <w:rPr>
          <w:rFonts w:ascii="Arial" w:eastAsia="Calibri" w:hAnsi="Arial" w:cs="Arial"/>
          <w:spacing w:val="-1"/>
          <w:sz w:val="17"/>
          <w:szCs w:val="17"/>
        </w:rPr>
      </w:pPr>
      <w:r>
        <w:rPr>
          <w:rFonts w:ascii="Arial" w:eastAsia="Calibri" w:hAnsi="Arial" w:cs="Arial"/>
          <w:spacing w:val="-1"/>
          <w:sz w:val="17"/>
          <w:szCs w:val="17"/>
        </w:rPr>
        <w:br w:type="page"/>
      </w:r>
    </w:p>
    <w:p w:rsidR="00BC0DE0" w:rsidRPr="002D70DA" w:rsidRDefault="00BC0DE0" w:rsidP="00E76A87">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lastRenderedPageBreak/>
        <w:t>Se explican aquellas cuentas de gastos de funcionamiento, transferencias, subsidios y otras ayudas, participaciones y aportaciones, otros gastos y pérdidas extraordinarias, que en lo individual representen el 10% o más del total de los gastos</w:t>
      </w:r>
      <w:r w:rsidR="00D0525E" w:rsidRPr="002D70DA">
        <w:rPr>
          <w:rFonts w:ascii="Arial" w:eastAsia="Calibri" w:hAnsi="Arial" w:cs="Arial"/>
          <w:spacing w:val="-1"/>
          <w:sz w:val="17"/>
          <w:szCs w:val="17"/>
        </w:rPr>
        <w:t xml:space="preserve"> </w:t>
      </w:r>
      <w:r w:rsidR="005D109B">
        <w:rPr>
          <w:rFonts w:ascii="Arial" w:eastAsia="Calibri" w:hAnsi="Arial" w:cs="Arial"/>
          <w:spacing w:val="-1"/>
          <w:sz w:val="17"/>
          <w:szCs w:val="17"/>
        </w:rPr>
        <w:t xml:space="preserve">al </w:t>
      </w:r>
      <w:r w:rsidR="001E5A70">
        <w:rPr>
          <w:rFonts w:ascii="Arial" w:eastAsia="Calibri" w:hAnsi="Arial" w:cs="Arial"/>
          <w:spacing w:val="-1"/>
          <w:sz w:val="17"/>
          <w:szCs w:val="17"/>
        </w:rPr>
        <w:t xml:space="preserve">31 de diciembre del </w:t>
      </w:r>
      <w:r w:rsidR="00FD7D84">
        <w:rPr>
          <w:rFonts w:ascii="Arial" w:eastAsia="Calibri" w:hAnsi="Arial" w:cs="Arial"/>
          <w:spacing w:val="-1"/>
          <w:sz w:val="17"/>
          <w:szCs w:val="17"/>
        </w:rPr>
        <w:t>2020</w:t>
      </w:r>
      <w:r w:rsidRPr="002D70DA">
        <w:rPr>
          <w:rFonts w:ascii="Arial" w:eastAsia="Calibri" w:hAnsi="Arial" w:cs="Arial"/>
          <w:spacing w:val="-1"/>
          <w:sz w:val="17"/>
          <w:szCs w:val="17"/>
        </w:rPr>
        <w:t>:</w:t>
      </w:r>
    </w:p>
    <w:p w:rsidR="00BC0DE0" w:rsidRPr="002D70DA" w:rsidRDefault="00BC0DE0" w:rsidP="00BC0DE0">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BC0DE0" w:rsidRPr="002D70DA" w:rsidTr="00932D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DE0" w:rsidRPr="002D70DA" w:rsidRDefault="002470B0">
            <w:pPr>
              <w:rPr>
                <w:rFonts w:ascii="Arial" w:hAnsi="Arial" w:cs="Arial"/>
                <w:b/>
                <w:bCs/>
                <w:color w:val="000000"/>
                <w:sz w:val="17"/>
                <w:szCs w:val="17"/>
              </w:rPr>
            </w:pPr>
            <w:r w:rsidRPr="002D70DA">
              <w:rPr>
                <w:rFonts w:ascii="Arial" w:hAnsi="Arial" w:cs="Arial"/>
                <w:b/>
                <w:bCs/>
                <w:color w:val="000000"/>
                <w:sz w:val="17"/>
                <w:szCs w:val="17"/>
              </w:rPr>
              <w:t>Monto total de gastos</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BC0DE0" w:rsidRPr="00F165DD" w:rsidRDefault="006216B0">
            <w:pPr>
              <w:jc w:val="right"/>
              <w:rPr>
                <w:rFonts w:ascii="Arial" w:hAnsi="Arial" w:cs="Arial"/>
                <w:b/>
                <w:bCs/>
                <w:color w:val="000000"/>
                <w:sz w:val="17"/>
                <w:szCs w:val="17"/>
              </w:rPr>
            </w:pPr>
            <w:r w:rsidRPr="006216B0">
              <w:rPr>
                <w:rFonts w:ascii="Arial" w:hAnsi="Arial" w:cs="Arial"/>
                <w:b/>
                <w:bCs/>
                <w:color w:val="000000"/>
                <w:sz w:val="17"/>
                <w:szCs w:val="17"/>
              </w:rPr>
              <w:t>42,902,964,653</w:t>
            </w:r>
          </w:p>
        </w:tc>
        <w:tc>
          <w:tcPr>
            <w:tcW w:w="2180" w:type="dxa"/>
            <w:tcBorders>
              <w:top w:val="nil"/>
              <w:left w:val="nil"/>
              <w:bottom w:val="nil"/>
              <w:right w:val="nil"/>
            </w:tcBorders>
            <w:shd w:val="clear" w:color="000000" w:fill="FFFFFF"/>
            <w:vAlign w:val="center"/>
            <w:hideMark/>
          </w:tcPr>
          <w:p w:rsidR="00BC0DE0" w:rsidRPr="002D70DA" w:rsidRDefault="00BC0DE0">
            <w:pPr>
              <w:rPr>
                <w:rFonts w:ascii="Arial" w:hAnsi="Arial" w:cs="Arial"/>
                <w:b/>
                <w:bCs/>
                <w:color w:val="000000"/>
                <w:sz w:val="17"/>
                <w:szCs w:val="17"/>
              </w:rPr>
            </w:pPr>
            <w:r w:rsidRPr="002D70DA">
              <w:rPr>
                <w:rFonts w:ascii="Arial" w:hAnsi="Arial" w:cs="Arial"/>
                <w:b/>
                <w:bCs/>
                <w:color w:val="000000"/>
                <w:sz w:val="17"/>
                <w:szCs w:val="17"/>
              </w:rPr>
              <w:t> </w:t>
            </w:r>
          </w:p>
        </w:tc>
      </w:tr>
      <w:tr w:rsidR="00BC0DE0" w:rsidRPr="002D70DA" w:rsidTr="00BC0DE0">
        <w:trPr>
          <w:trHeight w:val="240"/>
          <w:jc w:val="center"/>
        </w:trPr>
        <w:tc>
          <w:tcPr>
            <w:tcW w:w="4900" w:type="dxa"/>
            <w:tcBorders>
              <w:top w:val="nil"/>
              <w:left w:val="nil"/>
              <w:bottom w:val="nil"/>
              <w:right w:val="nil"/>
            </w:tcBorders>
            <w:shd w:val="clear" w:color="000000" w:fill="FFFFFF"/>
            <w:vAlign w:val="center"/>
            <w:hideMark/>
          </w:tcPr>
          <w:p w:rsidR="00BC0DE0" w:rsidRPr="002D70DA" w:rsidRDefault="00BC0DE0">
            <w:pPr>
              <w:rPr>
                <w:rFonts w:ascii="Arial" w:hAnsi="Arial" w:cs="Arial"/>
                <w:b/>
                <w:bCs/>
                <w:color w:val="000000"/>
                <w:sz w:val="17"/>
                <w:szCs w:val="17"/>
              </w:rPr>
            </w:pPr>
            <w:r w:rsidRPr="002D70DA">
              <w:rPr>
                <w:rFonts w:ascii="Arial" w:hAnsi="Arial" w:cs="Arial"/>
                <w:b/>
                <w:bCs/>
                <w:color w:val="000000"/>
                <w:sz w:val="17"/>
                <w:szCs w:val="17"/>
              </w:rPr>
              <w:t> </w:t>
            </w:r>
          </w:p>
        </w:tc>
        <w:tc>
          <w:tcPr>
            <w:tcW w:w="2180" w:type="dxa"/>
            <w:tcBorders>
              <w:top w:val="nil"/>
              <w:left w:val="nil"/>
              <w:bottom w:val="nil"/>
              <w:right w:val="nil"/>
            </w:tcBorders>
            <w:shd w:val="clear" w:color="000000" w:fill="FFFFFF"/>
            <w:vAlign w:val="center"/>
            <w:hideMark/>
          </w:tcPr>
          <w:p w:rsidR="00BC0DE0" w:rsidRPr="002D70DA" w:rsidRDefault="00BC0DE0">
            <w:pPr>
              <w:rPr>
                <w:rFonts w:ascii="Arial" w:hAnsi="Arial" w:cs="Arial"/>
                <w:b/>
                <w:bCs/>
                <w:color w:val="000000"/>
                <w:sz w:val="17"/>
                <w:szCs w:val="17"/>
              </w:rPr>
            </w:pPr>
            <w:r w:rsidRPr="002D70DA">
              <w:rPr>
                <w:rFonts w:ascii="Arial" w:hAnsi="Arial" w:cs="Arial"/>
                <w:b/>
                <w:bCs/>
                <w:color w:val="000000"/>
                <w:sz w:val="17"/>
                <w:szCs w:val="17"/>
              </w:rPr>
              <w:t> </w:t>
            </w:r>
          </w:p>
        </w:tc>
        <w:tc>
          <w:tcPr>
            <w:tcW w:w="2180" w:type="dxa"/>
            <w:tcBorders>
              <w:top w:val="nil"/>
              <w:left w:val="nil"/>
              <w:bottom w:val="nil"/>
              <w:right w:val="nil"/>
            </w:tcBorders>
            <w:shd w:val="clear" w:color="000000" w:fill="FFFFFF"/>
            <w:vAlign w:val="center"/>
            <w:hideMark/>
          </w:tcPr>
          <w:p w:rsidR="00BC0DE0" w:rsidRPr="002D70DA" w:rsidRDefault="00BC0DE0">
            <w:pPr>
              <w:rPr>
                <w:rFonts w:ascii="Arial" w:hAnsi="Arial" w:cs="Arial"/>
                <w:b/>
                <w:bCs/>
                <w:color w:val="000000"/>
                <w:sz w:val="17"/>
                <w:szCs w:val="17"/>
              </w:rPr>
            </w:pPr>
            <w:r w:rsidRPr="002D70DA">
              <w:rPr>
                <w:rFonts w:ascii="Arial" w:hAnsi="Arial" w:cs="Arial"/>
                <w:b/>
                <w:bCs/>
                <w:color w:val="000000"/>
                <w:sz w:val="17"/>
                <w:szCs w:val="17"/>
              </w:rPr>
              <w:t> </w:t>
            </w:r>
          </w:p>
        </w:tc>
      </w:tr>
      <w:tr w:rsidR="00BC0DE0" w:rsidRPr="002D70DA" w:rsidTr="002A58F7">
        <w:trPr>
          <w:trHeight w:val="48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C0DE0" w:rsidRPr="002D70DA" w:rsidRDefault="002470B0">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C0DE0" w:rsidRPr="002D70DA" w:rsidRDefault="002470B0">
            <w:pPr>
              <w:jc w:val="center"/>
              <w:rPr>
                <w:rFonts w:ascii="Arial" w:hAnsi="Arial" w:cs="Arial"/>
                <w:b/>
                <w:bCs/>
                <w:color w:val="000000"/>
                <w:sz w:val="17"/>
                <w:szCs w:val="17"/>
              </w:rPr>
            </w:pPr>
            <w:r w:rsidRPr="002D70DA">
              <w:rPr>
                <w:rFonts w:ascii="Arial" w:hAnsi="Arial" w:cs="Arial"/>
                <w:b/>
                <w:bCs/>
                <w:color w:val="000000"/>
                <w:sz w:val="17"/>
                <w:szCs w:val="17"/>
              </w:rPr>
              <w:t>Monto individual</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C0DE0" w:rsidRPr="002D70DA" w:rsidRDefault="002470B0">
            <w:pPr>
              <w:jc w:val="center"/>
              <w:rPr>
                <w:rFonts w:ascii="Arial" w:hAnsi="Arial" w:cs="Arial"/>
                <w:b/>
                <w:bCs/>
                <w:color w:val="000000"/>
                <w:sz w:val="17"/>
                <w:szCs w:val="17"/>
              </w:rPr>
            </w:pPr>
            <w:r w:rsidRPr="002D70DA">
              <w:rPr>
                <w:rFonts w:ascii="Arial" w:hAnsi="Arial" w:cs="Arial"/>
                <w:b/>
                <w:bCs/>
                <w:color w:val="000000"/>
                <w:sz w:val="17"/>
                <w:szCs w:val="17"/>
              </w:rPr>
              <w:t>Porcentaje del total del gasto</w:t>
            </w:r>
          </w:p>
        </w:tc>
      </w:tr>
      <w:tr w:rsidR="00F50E22" w:rsidRPr="002D70DA" w:rsidTr="00D54B2B">
        <w:trPr>
          <w:trHeight w:val="288"/>
          <w:jc w:val="center"/>
        </w:trPr>
        <w:tc>
          <w:tcPr>
            <w:tcW w:w="4900" w:type="dxa"/>
            <w:tcBorders>
              <w:top w:val="single" w:sz="4" w:space="0" w:color="auto"/>
              <w:left w:val="single" w:sz="4" w:space="0" w:color="auto"/>
              <w:bottom w:val="single" w:sz="4" w:space="0" w:color="auto"/>
              <w:right w:val="single" w:sz="4" w:space="0" w:color="auto"/>
            </w:tcBorders>
            <w:shd w:val="clear" w:color="000000" w:fill="FFFFFF"/>
          </w:tcPr>
          <w:p w:rsidR="00F50E22" w:rsidRPr="00F50E22" w:rsidRDefault="00F50E22" w:rsidP="00F50E22">
            <w:pPr>
              <w:rPr>
                <w:rFonts w:ascii="Arial" w:hAnsi="Arial" w:cs="Arial"/>
                <w:sz w:val="17"/>
                <w:szCs w:val="17"/>
              </w:rPr>
            </w:pPr>
            <w:r w:rsidRPr="00F50E22">
              <w:rPr>
                <w:rFonts w:ascii="Arial" w:hAnsi="Arial" w:cs="Arial"/>
                <w:sz w:val="17"/>
                <w:szCs w:val="17"/>
              </w:rPr>
              <w:t>Transferencias a entidades paraestatales</w:t>
            </w:r>
          </w:p>
        </w:tc>
        <w:tc>
          <w:tcPr>
            <w:tcW w:w="2180" w:type="dxa"/>
            <w:tcBorders>
              <w:top w:val="single" w:sz="4" w:space="0" w:color="auto"/>
              <w:left w:val="nil"/>
              <w:bottom w:val="single" w:sz="4" w:space="0" w:color="auto"/>
              <w:right w:val="single" w:sz="4" w:space="0" w:color="auto"/>
            </w:tcBorders>
            <w:shd w:val="clear" w:color="auto" w:fill="auto"/>
          </w:tcPr>
          <w:p w:rsidR="00F50E22" w:rsidRPr="00F50E22" w:rsidRDefault="006216B0" w:rsidP="00F50E22">
            <w:pPr>
              <w:jc w:val="right"/>
              <w:rPr>
                <w:rFonts w:ascii="Arial" w:hAnsi="Arial" w:cs="Arial"/>
                <w:bCs/>
                <w:color w:val="000000"/>
                <w:sz w:val="17"/>
                <w:szCs w:val="17"/>
              </w:rPr>
            </w:pPr>
            <w:r w:rsidRPr="006216B0">
              <w:rPr>
                <w:rFonts w:ascii="Arial" w:hAnsi="Arial" w:cs="Arial"/>
                <w:bCs/>
                <w:color w:val="000000"/>
                <w:sz w:val="17"/>
                <w:szCs w:val="17"/>
              </w:rPr>
              <w:t>18,398,530,749</w:t>
            </w:r>
          </w:p>
        </w:tc>
        <w:tc>
          <w:tcPr>
            <w:tcW w:w="2180" w:type="dxa"/>
            <w:tcBorders>
              <w:top w:val="single" w:sz="4" w:space="0" w:color="auto"/>
              <w:left w:val="nil"/>
              <w:bottom w:val="single" w:sz="4" w:space="0" w:color="auto"/>
              <w:right w:val="single" w:sz="4" w:space="0" w:color="auto"/>
            </w:tcBorders>
            <w:shd w:val="clear" w:color="auto" w:fill="auto"/>
          </w:tcPr>
          <w:p w:rsidR="00F50E22" w:rsidRPr="00F50E22" w:rsidRDefault="00D561B4" w:rsidP="006216B0">
            <w:pPr>
              <w:jc w:val="right"/>
              <w:rPr>
                <w:rFonts w:ascii="Arial" w:hAnsi="Arial" w:cs="Arial"/>
                <w:bCs/>
                <w:color w:val="000000"/>
                <w:sz w:val="17"/>
                <w:szCs w:val="17"/>
              </w:rPr>
            </w:pPr>
            <w:r w:rsidRPr="00D561B4">
              <w:rPr>
                <w:rFonts w:ascii="Arial" w:hAnsi="Arial" w:cs="Arial"/>
                <w:bCs/>
                <w:color w:val="000000"/>
                <w:sz w:val="17"/>
                <w:szCs w:val="17"/>
              </w:rPr>
              <w:t>4</w:t>
            </w:r>
            <w:r w:rsidR="006216B0">
              <w:rPr>
                <w:rFonts w:ascii="Arial" w:hAnsi="Arial" w:cs="Arial"/>
                <w:bCs/>
                <w:color w:val="000000"/>
                <w:sz w:val="17"/>
                <w:szCs w:val="17"/>
              </w:rPr>
              <w:t>2</w:t>
            </w:r>
            <w:r w:rsidRPr="00D561B4">
              <w:rPr>
                <w:rFonts w:ascii="Arial" w:hAnsi="Arial" w:cs="Arial"/>
                <w:bCs/>
                <w:color w:val="000000"/>
                <w:sz w:val="17"/>
                <w:szCs w:val="17"/>
              </w:rPr>
              <w:t>.</w:t>
            </w:r>
            <w:r w:rsidR="006216B0">
              <w:rPr>
                <w:rFonts w:ascii="Arial" w:hAnsi="Arial" w:cs="Arial"/>
                <w:bCs/>
                <w:color w:val="000000"/>
                <w:sz w:val="17"/>
                <w:szCs w:val="17"/>
              </w:rPr>
              <w:t>88</w:t>
            </w:r>
            <w:r w:rsidRPr="00D561B4">
              <w:rPr>
                <w:rFonts w:ascii="Arial" w:hAnsi="Arial" w:cs="Arial"/>
                <w:bCs/>
                <w:color w:val="000000"/>
                <w:sz w:val="17"/>
                <w:szCs w:val="17"/>
              </w:rPr>
              <w:t>%</w:t>
            </w:r>
          </w:p>
        </w:tc>
      </w:tr>
    </w:tbl>
    <w:p w:rsidR="00534381" w:rsidRDefault="00534381" w:rsidP="00534381">
      <w:pPr>
        <w:spacing w:before="80" w:line="250" w:lineRule="exact"/>
        <w:jc w:val="both"/>
        <w:rPr>
          <w:rFonts w:ascii="Arial" w:eastAsia="Calibri" w:hAnsi="Arial" w:cs="Arial"/>
          <w:b/>
          <w:spacing w:val="-1"/>
          <w:sz w:val="17"/>
          <w:szCs w:val="17"/>
        </w:rPr>
      </w:pPr>
    </w:p>
    <w:p w:rsidR="00FE2D83" w:rsidRDefault="00FE2D83">
      <w:pPr>
        <w:rPr>
          <w:rFonts w:ascii="Arial" w:eastAsia="Calibri" w:hAnsi="Arial" w:cs="Arial"/>
          <w:b/>
          <w:spacing w:val="-1"/>
          <w:sz w:val="17"/>
          <w:szCs w:val="17"/>
        </w:rPr>
      </w:pPr>
      <w:r>
        <w:rPr>
          <w:rFonts w:ascii="Arial" w:eastAsia="Calibri" w:hAnsi="Arial" w:cs="Arial"/>
          <w:b/>
          <w:spacing w:val="-1"/>
          <w:sz w:val="17"/>
          <w:szCs w:val="17"/>
        </w:rPr>
        <w:br w:type="page"/>
      </w:r>
    </w:p>
    <w:p w:rsidR="00BC0DE0" w:rsidRPr="009A7FA3" w:rsidRDefault="00BC0DE0" w:rsidP="00795E45">
      <w:pPr>
        <w:pStyle w:val="Prrafodelista"/>
        <w:numPr>
          <w:ilvl w:val="0"/>
          <w:numId w:val="10"/>
        </w:numPr>
        <w:autoSpaceDE w:val="0"/>
        <w:autoSpaceDN w:val="0"/>
        <w:adjustRightInd w:val="0"/>
        <w:spacing w:before="240" w:after="120"/>
        <w:jc w:val="both"/>
        <w:rPr>
          <w:rFonts w:ascii="Arial" w:hAnsi="Arial" w:cs="Arial"/>
          <w:b/>
          <w:sz w:val="17"/>
          <w:szCs w:val="17"/>
        </w:rPr>
      </w:pPr>
      <w:r w:rsidRPr="009A7FA3">
        <w:rPr>
          <w:rFonts w:ascii="Arial" w:hAnsi="Arial" w:cs="Arial"/>
          <w:b/>
          <w:sz w:val="17"/>
          <w:szCs w:val="17"/>
        </w:rPr>
        <w:lastRenderedPageBreak/>
        <w:t xml:space="preserve">Notas al Estado de </w:t>
      </w:r>
      <w:r w:rsidR="00D0525E" w:rsidRPr="009A7FA3">
        <w:rPr>
          <w:rFonts w:ascii="Arial" w:hAnsi="Arial" w:cs="Arial"/>
          <w:b/>
          <w:sz w:val="17"/>
          <w:szCs w:val="17"/>
        </w:rPr>
        <w:t>Variación en la Hacienda Pública</w:t>
      </w:r>
    </w:p>
    <w:p w:rsidR="00D0525E" w:rsidRPr="002D70DA" w:rsidRDefault="00D0525E" w:rsidP="00791E59">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Se informa de manera agrupada, acerca de las modificaciones a</w:t>
      </w:r>
      <w:r w:rsidR="003977E2">
        <w:rPr>
          <w:rFonts w:ascii="Arial" w:eastAsia="Calibri" w:hAnsi="Arial" w:cs="Arial"/>
          <w:spacing w:val="-1"/>
          <w:sz w:val="17"/>
          <w:szCs w:val="17"/>
        </w:rPr>
        <w:t xml:space="preserve"> </w:t>
      </w:r>
      <w:r w:rsidRPr="002D70DA">
        <w:rPr>
          <w:rFonts w:ascii="Arial" w:eastAsia="Calibri" w:hAnsi="Arial" w:cs="Arial"/>
          <w:spacing w:val="-1"/>
          <w:sz w:val="17"/>
          <w:szCs w:val="17"/>
        </w:rPr>
        <w:t>l</w:t>
      </w:r>
      <w:r w:rsidR="003977E2">
        <w:rPr>
          <w:rFonts w:ascii="Arial" w:eastAsia="Calibri" w:hAnsi="Arial" w:cs="Arial"/>
          <w:spacing w:val="-1"/>
          <w:sz w:val="17"/>
          <w:szCs w:val="17"/>
        </w:rPr>
        <w:t>a Hacienda Pública</w:t>
      </w:r>
      <w:r w:rsidRPr="002D70DA">
        <w:rPr>
          <w:rFonts w:ascii="Arial" w:eastAsia="Calibri" w:hAnsi="Arial" w:cs="Arial"/>
          <w:spacing w:val="-1"/>
          <w:sz w:val="17"/>
          <w:szCs w:val="17"/>
        </w:rPr>
        <w:t xml:space="preserve"> contribuid</w:t>
      </w:r>
      <w:r w:rsidR="003977E2">
        <w:rPr>
          <w:rFonts w:ascii="Arial" w:eastAsia="Calibri" w:hAnsi="Arial" w:cs="Arial"/>
          <w:spacing w:val="-1"/>
          <w:sz w:val="17"/>
          <w:szCs w:val="17"/>
        </w:rPr>
        <w:t>a</w:t>
      </w:r>
      <w:r w:rsidRPr="002D70DA">
        <w:rPr>
          <w:rFonts w:ascii="Arial" w:eastAsia="Calibri" w:hAnsi="Arial" w:cs="Arial"/>
          <w:spacing w:val="-1"/>
          <w:sz w:val="17"/>
          <w:szCs w:val="17"/>
        </w:rPr>
        <w:t xml:space="preserve"> </w:t>
      </w:r>
      <w:r w:rsidR="005D109B">
        <w:rPr>
          <w:rFonts w:ascii="Arial" w:eastAsia="Calibri" w:hAnsi="Arial" w:cs="Arial"/>
          <w:spacing w:val="-1"/>
          <w:sz w:val="17"/>
          <w:szCs w:val="17"/>
        </w:rPr>
        <w:t xml:space="preserve">al </w:t>
      </w:r>
      <w:r w:rsidR="001E5A70">
        <w:rPr>
          <w:rFonts w:ascii="Arial" w:eastAsia="Calibri" w:hAnsi="Arial" w:cs="Arial"/>
          <w:spacing w:val="-1"/>
          <w:sz w:val="17"/>
          <w:szCs w:val="17"/>
        </w:rPr>
        <w:t xml:space="preserve">31 de diciembre del </w:t>
      </w:r>
      <w:r w:rsidR="00FD7D84">
        <w:rPr>
          <w:rFonts w:ascii="Arial" w:eastAsia="Calibri" w:hAnsi="Arial" w:cs="Arial"/>
          <w:spacing w:val="-1"/>
          <w:sz w:val="17"/>
          <w:szCs w:val="17"/>
        </w:rPr>
        <w:t>2020</w:t>
      </w:r>
      <w:r w:rsidRPr="002D70DA">
        <w:rPr>
          <w:rFonts w:ascii="Arial" w:eastAsia="Calibri" w:hAnsi="Arial" w:cs="Arial"/>
          <w:spacing w:val="-1"/>
          <w:sz w:val="17"/>
          <w:szCs w:val="17"/>
        </w:rPr>
        <w:t>:</w:t>
      </w:r>
    </w:p>
    <w:p w:rsidR="00D0525E" w:rsidRPr="002D70DA" w:rsidRDefault="00D0525E" w:rsidP="00D0525E">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7080" w:type="dxa"/>
        <w:jc w:val="center"/>
        <w:tblCellMar>
          <w:left w:w="70" w:type="dxa"/>
          <w:right w:w="70" w:type="dxa"/>
        </w:tblCellMar>
        <w:tblLook w:val="04A0" w:firstRow="1" w:lastRow="0" w:firstColumn="1" w:lastColumn="0" w:noHBand="0" w:noVBand="1"/>
      </w:tblPr>
      <w:tblGrid>
        <w:gridCol w:w="4900"/>
        <w:gridCol w:w="2180"/>
      </w:tblGrid>
      <w:tr w:rsidR="009B3D46" w:rsidRPr="002D70DA" w:rsidTr="006D1FCA">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9B3D46" w:rsidRPr="002D70DA" w:rsidRDefault="009B3D46">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B3D46" w:rsidRPr="002D70DA" w:rsidRDefault="009B3D46">
            <w:pPr>
              <w:jc w:val="center"/>
              <w:rPr>
                <w:rFonts w:ascii="Arial" w:hAnsi="Arial" w:cs="Arial"/>
                <w:b/>
                <w:bCs/>
                <w:color w:val="000000"/>
                <w:sz w:val="17"/>
                <w:szCs w:val="17"/>
              </w:rPr>
            </w:pPr>
            <w:r w:rsidRPr="002D70DA">
              <w:rPr>
                <w:rFonts w:ascii="Arial" w:hAnsi="Arial" w:cs="Arial"/>
                <w:b/>
                <w:bCs/>
                <w:color w:val="000000"/>
                <w:sz w:val="17"/>
                <w:szCs w:val="17"/>
              </w:rPr>
              <w:t>MONTO</w:t>
            </w:r>
          </w:p>
        </w:tc>
      </w:tr>
      <w:tr w:rsidR="00603D16" w:rsidRPr="002D70DA" w:rsidTr="006D1FCA">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D16" w:rsidRPr="002D70DA" w:rsidRDefault="009A7FA3" w:rsidP="00603D16">
            <w:pPr>
              <w:rPr>
                <w:rFonts w:ascii="Arial" w:hAnsi="Arial" w:cs="Arial"/>
                <w:b/>
                <w:bCs/>
                <w:color w:val="000000"/>
                <w:sz w:val="17"/>
                <w:szCs w:val="17"/>
              </w:rPr>
            </w:pPr>
            <w:r>
              <w:rPr>
                <w:rFonts w:ascii="Arial" w:hAnsi="Arial" w:cs="Arial"/>
                <w:b/>
                <w:bCs/>
                <w:color w:val="000000"/>
                <w:sz w:val="17"/>
                <w:szCs w:val="17"/>
              </w:rPr>
              <w:t>Aportaciones</w:t>
            </w:r>
          </w:p>
        </w:tc>
        <w:tc>
          <w:tcPr>
            <w:tcW w:w="2180" w:type="dxa"/>
            <w:tcBorders>
              <w:top w:val="single" w:sz="4" w:space="0" w:color="auto"/>
              <w:left w:val="nil"/>
              <w:bottom w:val="single" w:sz="4" w:space="0" w:color="auto"/>
              <w:right w:val="single" w:sz="4" w:space="0" w:color="auto"/>
            </w:tcBorders>
            <w:shd w:val="clear" w:color="auto" w:fill="auto"/>
            <w:hideMark/>
          </w:tcPr>
          <w:p w:rsidR="00603D16" w:rsidRPr="00FB07DB" w:rsidRDefault="00D2465E" w:rsidP="00603D16">
            <w:pPr>
              <w:jc w:val="right"/>
              <w:rPr>
                <w:rFonts w:ascii="Arial" w:hAnsi="Arial" w:cs="Arial"/>
                <w:b/>
                <w:sz w:val="17"/>
                <w:szCs w:val="17"/>
              </w:rPr>
            </w:pPr>
            <w:r>
              <w:rPr>
                <w:rFonts w:ascii="Arial" w:hAnsi="Arial" w:cs="Arial"/>
                <w:b/>
                <w:sz w:val="17"/>
                <w:szCs w:val="17"/>
              </w:rPr>
              <w:t>-</w:t>
            </w:r>
            <w:r w:rsidRPr="00D2465E">
              <w:rPr>
                <w:rFonts w:ascii="Arial" w:hAnsi="Arial" w:cs="Arial"/>
                <w:b/>
                <w:sz w:val="17"/>
                <w:szCs w:val="17"/>
              </w:rPr>
              <w:t>309,420,971</w:t>
            </w:r>
          </w:p>
        </w:tc>
      </w:tr>
      <w:tr w:rsidR="006D1FCA" w:rsidRPr="002D70DA" w:rsidTr="006D1FCA">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000000" w:fill="FFFFFF"/>
            <w:vAlign w:val="center"/>
          </w:tcPr>
          <w:p w:rsidR="006D1FCA" w:rsidRDefault="006D1FCA" w:rsidP="00603D16">
            <w:pPr>
              <w:rPr>
                <w:rFonts w:ascii="Arial" w:hAnsi="Arial" w:cs="Arial"/>
                <w:b/>
                <w:bCs/>
                <w:color w:val="000000"/>
                <w:sz w:val="17"/>
                <w:szCs w:val="17"/>
              </w:rPr>
            </w:pPr>
            <w:r w:rsidRPr="006D1FCA">
              <w:rPr>
                <w:rFonts w:ascii="Arial" w:hAnsi="Arial" w:cs="Arial"/>
                <w:b/>
                <w:bCs/>
                <w:color w:val="000000"/>
                <w:sz w:val="17"/>
                <w:szCs w:val="17"/>
              </w:rPr>
              <w:t>Donaciones de Capital</w:t>
            </w:r>
          </w:p>
        </w:tc>
        <w:tc>
          <w:tcPr>
            <w:tcW w:w="2180" w:type="dxa"/>
            <w:tcBorders>
              <w:top w:val="single" w:sz="4" w:space="0" w:color="auto"/>
              <w:left w:val="nil"/>
              <w:bottom w:val="single" w:sz="4" w:space="0" w:color="auto"/>
              <w:right w:val="single" w:sz="4" w:space="0" w:color="auto"/>
            </w:tcBorders>
            <w:shd w:val="clear" w:color="auto" w:fill="auto"/>
          </w:tcPr>
          <w:p w:rsidR="006D1FCA" w:rsidRPr="006D1FCA" w:rsidRDefault="00D2465E" w:rsidP="00603D16">
            <w:pPr>
              <w:jc w:val="right"/>
              <w:rPr>
                <w:rFonts w:ascii="Arial" w:hAnsi="Arial" w:cs="Arial"/>
                <w:b/>
                <w:sz w:val="17"/>
                <w:szCs w:val="17"/>
              </w:rPr>
            </w:pPr>
            <w:r w:rsidRPr="00D2465E">
              <w:rPr>
                <w:rFonts w:ascii="Arial" w:hAnsi="Arial" w:cs="Arial"/>
                <w:b/>
                <w:sz w:val="17"/>
                <w:szCs w:val="17"/>
              </w:rPr>
              <w:t>158,354</w:t>
            </w:r>
          </w:p>
        </w:tc>
      </w:tr>
    </w:tbl>
    <w:p w:rsidR="00791E59" w:rsidRDefault="00791E59">
      <w:pPr>
        <w:rPr>
          <w:rFonts w:ascii="Arial" w:eastAsia="Calibri" w:hAnsi="Arial" w:cs="Arial"/>
          <w:spacing w:val="-1"/>
          <w:sz w:val="17"/>
          <w:szCs w:val="17"/>
        </w:rPr>
      </w:pPr>
    </w:p>
    <w:p w:rsidR="00835157" w:rsidRDefault="00835157">
      <w:pPr>
        <w:rPr>
          <w:rFonts w:ascii="Arial" w:eastAsia="Calibri" w:hAnsi="Arial" w:cs="Arial"/>
          <w:spacing w:val="-1"/>
          <w:sz w:val="17"/>
          <w:szCs w:val="17"/>
        </w:rPr>
      </w:pPr>
    </w:p>
    <w:p w:rsidR="00B36E1D" w:rsidRDefault="009A7FA3" w:rsidP="00C462F7">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 xml:space="preserve">Resultado de Aportaciones registradas por </w:t>
      </w:r>
      <w:r w:rsidR="006D1FCA">
        <w:rPr>
          <w:rFonts w:ascii="Arial" w:eastAsia="Calibri" w:hAnsi="Arial" w:cs="Arial"/>
          <w:spacing w:val="-1"/>
          <w:sz w:val="17"/>
          <w:szCs w:val="17"/>
        </w:rPr>
        <w:t>el Poder Ejecutivo</w:t>
      </w:r>
      <w:r w:rsidR="001B2073">
        <w:rPr>
          <w:rFonts w:ascii="Arial" w:eastAsia="Calibri" w:hAnsi="Arial" w:cs="Arial"/>
          <w:spacing w:val="-1"/>
          <w:sz w:val="17"/>
          <w:szCs w:val="17"/>
        </w:rPr>
        <w:t xml:space="preserve"> por un importe de </w:t>
      </w:r>
      <w:r w:rsidR="00B36E1D">
        <w:rPr>
          <w:rFonts w:ascii="Arial" w:eastAsia="Calibri" w:hAnsi="Arial" w:cs="Arial"/>
          <w:spacing w:val="-1"/>
          <w:sz w:val="17"/>
          <w:szCs w:val="17"/>
        </w:rPr>
        <w:t>-</w:t>
      </w:r>
      <w:r w:rsidR="00B36E1D" w:rsidRPr="00B36E1D">
        <w:rPr>
          <w:rFonts w:ascii="Arial" w:eastAsia="Calibri" w:hAnsi="Arial" w:cs="Arial"/>
          <w:spacing w:val="-1"/>
          <w:sz w:val="17"/>
          <w:szCs w:val="17"/>
        </w:rPr>
        <w:t>309,413,450</w:t>
      </w:r>
      <w:r w:rsidR="00B36E1D">
        <w:rPr>
          <w:rFonts w:ascii="Arial" w:eastAsia="Calibri" w:hAnsi="Arial" w:cs="Arial"/>
          <w:spacing w:val="-1"/>
          <w:sz w:val="17"/>
          <w:szCs w:val="17"/>
        </w:rPr>
        <w:t xml:space="preserve"> y del </w:t>
      </w:r>
      <w:r w:rsidR="00B36E1D" w:rsidRPr="00B36E1D">
        <w:rPr>
          <w:rFonts w:ascii="Arial" w:eastAsia="Calibri" w:hAnsi="Arial" w:cs="Arial"/>
          <w:spacing w:val="-1"/>
          <w:sz w:val="17"/>
          <w:szCs w:val="17"/>
        </w:rPr>
        <w:t>Instituto Electoral del Estado de Querétaro</w:t>
      </w:r>
      <w:r w:rsidR="00B36E1D">
        <w:rPr>
          <w:rFonts w:ascii="Arial" w:eastAsia="Calibri" w:hAnsi="Arial" w:cs="Arial"/>
          <w:spacing w:val="-1"/>
          <w:sz w:val="17"/>
          <w:szCs w:val="17"/>
        </w:rPr>
        <w:t xml:space="preserve"> por un importe de -</w:t>
      </w:r>
      <w:r w:rsidR="00B36E1D" w:rsidRPr="00B36E1D">
        <w:rPr>
          <w:rFonts w:ascii="Arial" w:eastAsia="Calibri" w:hAnsi="Arial" w:cs="Arial"/>
          <w:spacing w:val="-1"/>
          <w:sz w:val="17"/>
          <w:szCs w:val="17"/>
        </w:rPr>
        <w:t>7,521</w:t>
      </w:r>
    </w:p>
    <w:p w:rsidR="005151EC" w:rsidRDefault="00940CEE" w:rsidP="00C462F7">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La</w:t>
      </w:r>
      <w:r w:rsidR="006D1FCA">
        <w:rPr>
          <w:rFonts w:ascii="Arial" w:eastAsia="Calibri" w:hAnsi="Arial" w:cs="Arial"/>
          <w:spacing w:val="-1"/>
          <w:sz w:val="17"/>
          <w:szCs w:val="17"/>
        </w:rPr>
        <w:t xml:space="preserve">s Donaciones de Capital registras por </w:t>
      </w:r>
      <w:r>
        <w:rPr>
          <w:rFonts w:ascii="Arial" w:eastAsia="Calibri" w:hAnsi="Arial" w:cs="Arial"/>
          <w:spacing w:val="-1"/>
          <w:sz w:val="17"/>
          <w:szCs w:val="17"/>
        </w:rPr>
        <w:t xml:space="preserve">el Poder Ejecutivo por un importe de </w:t>
      </w:r>
      <w:r w:rsidR="00B36E1D" w:rsidRPr="00B36E1D">
        <w:rPr>
          <w:rFonts w:ascii="Arial" w:eastAsia="Calibri" w:hAnsi="Arial" w:cs="Arial"/>
          <w:spacing w:val="-1"/>
          <w:sz w:val="17"/>
          <w:szCs w:val="17"/>
        </w:rPr>
        <w:t>158,354</w:t>
      </w:r>
    </w:p>
    <w:p w:rsidR="005151EC" w:rsidRDefault="005151EC" w:rsidP="00C462F7">
      <w:pPr>
        <w:spacing w:before="80" w:line="250" w:lineRule="exact"/>
        <w:ind w:left="709"/>
        <w:jc w:val="both"/>
        <w:rPr>
          <w:rFonts w:ascii="Arial" w:eastAsia="Calibri" w:hAnsi="Arial" w:cs="Arial"/>
          <w:spacing w:val="-1"/>
          <w:sz w:val="17"/>
          <w:szCs w:val="17"/>
        </w:rPr>
      </w:pPr>
    </w:p>
    <w:p w:rsidR="00C462F7" w:rsidRPr="002D70DA" w:rsidRDefault="00C462F7" w:rsidP="00C462F7">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Se informa de manera agrupada, acerca del monto </w:t>
      </w:r>
      <w:r w:rsidR="005D109B">
        <w:rPr>
          <w:rFonts w:ascii="Arial" w:eastAsia="Calibri" w:hAnsi="Arial" w:cs="Arial"/>
          <w:spacing w:val="-1"/>
          <w:sz w:val="17"/>
          <w:szCs w:val="17"/>
        </w:rPr>
        <w:t xml:space="preserve">al </w:t>
      </w:r>
      <w:r w:rsidR="001E5A70">
        <w:rPr>
          <w:rFonts w:ascii="Arial" w:eastAsia="Calibri" w:hAnsi="Arial" w:cs="Arial"/>
          <w:spacing w:val="-1"/>
          <w:sz w:val="17"/>
          <w:szCs w:val="17"/>
        </w:rPr>
        <w:t xml:space="preserve">31 de diciembre del </w:t>
      </w:r>
      <w:r w:rsidR="00FD7D84">
        <w:rPr>
          <w:rFonts w:ascii="Arial" w:eastAsia="Calibri" w:hAnsi="Arial" w:cs="Arial"/>
          <w:spacing w:val="-1"/>
          <w:sz w:val="17"/>
          <w:szCs w:val="17"/>
        </w:rPr>
        <w:t>2020</w:t>
      </w:r>
      <w:r w:rsidRPr="002D70DA">
        <w:rPr>
          <w:rFonts w:ascii="Arial" w:eastAsia="Calibri" w:hAnsi="Arial" w:cs="Arial"/>
          <w:spacing w:val="-1"/>
          <w:sz w:val="17"/>
          <w:szCs w:val="17"/>
        </w:rPr>
        <w:t xml:space="preserve"> así como la procedencia de los recursos que modifican a</w:t>
      </w:r>
      <w:r w:rsidR="008C493D">
        <w:rPr>
          <w:rFonts w:ascii="Arial" w:eastAsia="Calibri" w:hAnsi="Arial" w:cs="Arial"/>
          <w:spacing w:val="-1"/>
          <w:sz w:val="17"/>
          <w:szCs w:val="17"/>
        </w:rPr>
        <w:t xml:space="preserve"> </w:t>
      </w:r>
      <w:r w:rsidRPr="002D70DA">
        <w:rPr>
          <w:rFonts w:ascii="Arial" w:eastAsia="Calibri" w:hAnsi="Arial" w:cs="Arial"/>
          <w:spacing w:val="-1"/>
          <w:sz w:val="17"/>
          <w:szCs w:val="17"/>
        </w:rPr>
        <w:t>l</w:t>
      </w:r>
      <w:r w:rsidR="008C493D">
        <w:rPr>
          <w:rFonts w:ascii="Arial" w:eastAsia="Calibri" w:hAnsi="Arial" w:cs="Arial"/>
          <w:spacing w:val="-1"/>
          <w:sz w:val="17"/>
          <w:szCs w:val="17"/>
        </w:rPr>
        <w:t>a</w:t>
      </w:r>
      <w:r w:rsidRPr="002D70DA">
        <w:rPr>
          <w:rFonts w:ascii="Arial" w:eastAsia="Calibri" w:hAnsi="Arial" w:cs="Arial"/>
          <w:spacing w:val="-1"/>
          <w:sz w:val="17"/>
          <w:szCs w:val="17"/>
        </w:rPr>
        <w:t xml:space="preserve"> </w:t>
      </w:r>
      <w:r w:rsidR="008C493D">
        <w:rPr>
          <w:rFonts w:ascii="Arial" w:eastAsia="Calibri" w:hAnsi="Arial" w:cs="Arial"/>
          <w:spacing w:val="-1"/>
          <w:sz w:val="17"/>
          <w:szCs w:val="17"/>
        </w:rPr>
        <w:t>Hacienda Pública generada</w:t>
      </w:r>
      <w:r w:rsidRPr="002D70DA">
        <w:rPr>
          <w:rFonts w:ascii="Arial" w:eastAsia="Calibri" w:hAnsi="Arial" w:cs="Arial"/>
          <w:spacing w:val="-1"/>
          <w:sz w:val="17"/>
          <w:szCs w:val="17"/>
        </w:rPr>
        <w:t>:</w:t>
      </w:r>
    </w:p>
    <w:p w:rsidR="00C462F7" w:rsidRPr="002D70DA" w:rsidRDefault="00C462F7" w:rsidP="00C462F7">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6173" w:type="dxa"/>
        <w:jc w:val="center"/>
        <w:tblCellMar>
          <w:left w:w="70" w:type="dxa"/>
          <w:right w:w="70" w:type="dxa"/>
        </w:tblCellMar>
        <w:tblLook w:val="04A0" w:firstRow="1" w:lastRow="0" w:firstColumn="1" w:lastColumn="0" w:noHBand="0" w:noVBand="1"/>
      </w:tblPr>
      <w:tblGrid>
        <w:gridCol w:w="3086"/>
        <w:gridCol w:w="3087"/>
      </w:tblGrid>
      <w:tr w:rsidR="00251646" w:rsidRPr="002D70DA" w:rsidTr="00A25F9E">
        <w:trPr>
          <w:trHeight w:val="229"/>
          <w:jc w:val="center"/>
        </w:trPr>
        <w:tc>
          <w:tcPr>
            <w:tcW w:w="308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251646" w:rsidRPr="002D70DA" w:rsidRDefault="00791E59">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3087"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251646" w:rsidRPr="002D70DA" w:rsidRDefault="00791E59">
            <w:pPr>
              <w:jc w:val="center"/>
              <w:rPr>
                <w:rFonts w:ascii="Arial" w:hAnsi="Arial" w:cs="Arial"/>
                <w:b/>
                <w:bCs/>
                <w:color w:val="000000"/>
                <w:sz w:val="17"/>
                <w:szCs w:val="17"/>
              </w:rPr>
            </w:pPr>
            <w:r w:rsidRPr="002D70DA">
              <w:rPr>
                <w:rFonts w:ascii="Arial" w:hAnsi="Arial" w:cs="Arial"/>
                <w:b/>
                <w:bCs/>
                <w:color w:val="000000"/>
                <w:sz w:val="17"/>
                <w:szCs w:val="17"/>
              </w:rPr>
              <w:t>Monto</w:t>
            </w:r>
          </w:p>
        </w:tc>
      </w:tr>
      <w:tr w:rsidR="008B2E49" w:rsidRPr="002D70DA" w:rsidTr="00791E59">
        <w:trPr>
          <w:trHeight w:val="133"/>
          <w:jc w:val="center"/>
        </w:trPr>
        <w:tc>
          <w:tcPr>
            <w:tcW w:w="3086" w:type="dxa"/>
            <w:tcBorders>
              <w:top w:val="nil"/>
              <w:left w:val="single" w:sz="4" w:space="0" w:color="auto"/>
              <w:bottom w:val="single" w:sz="4" w:space="0" w:color="auto"/>
              <w:right w:val="single" w:sz="4" w:space="0" w:color="auto"/>
            </w:tcBorders>
            <w:shd w:val="clear" w:color="000000" w:fill="FFFFFF"/>
            <w:vAlign w:val="center"/>
            <w:hideMark/>
          </w:tcPr>
          <w:p w:rsidR="008B2E49" w:rsidRPr="002D70DA" w:rsidRDefault="00791E59" w:rsidP="008B2E49">
            <w:pPr>
              <w:rPr>
                <w:rFonts w:ascii="Arial" w:hAnsi="Arial" w:cs="Arial"/>
                <w:b/>
                <w:bCs/>
                <w:color w:val="000000"/>
                <w:sz w:val="17"/>
                <w:szCs w:val="17"/>
              </w:rPr>
            </w:pPr>
            <w:r w:rsidRPr="002D70DA">
              <w:rPr>
                <w:rFonts w:ascii="Arial" w:hAnsi="Arial" w:cs="Arial"/>
                <w:b/>
                <w:bCs/>
                <w:color w:val="000000"/>
                <w:sz w:val="17"/>
                <w:szCs w:val="17"/>
              </w:rPr>
              <w:t>Resultado del ejercicio</w:t>
            </w:r>
          </w:p>
        </w:tc>
        <w:tc>
          <w:tcPr>
            <w:tcW w:w="3087" w:type="dxa"/>
            <w:tcBorders>
              <w:top w:val="nil"/>
              <w:left w:val="nil"/>
              <w:bottom w:val="single" w:sz="4" w:space="0" w:color="auto"/>
              <w:right w:val="single" w:sz="4" w:space="0" w:color="auto"/>
            </w:tcBorders>
            <w:shd w:val="clear" w:color="auto" w:fill="auto"/>
            <w:hideMark/>
          </w:tcPr>
          <w:p w:rsidR="008B2E49" w:rsidRPr="008B2E49" w:rsidRDefault="006B7F66" w:rsidP="008B2E49">
            <w:pPr>
              <w:jc w:val="right"/>
              <w:rPr>
                <w:rFonts w:ascii="Arial" w:hAnsi="Arial" w:cs="Arial"/>
                <w:b/>
                <w:sz w:val="17"/>
                <w:szCs w:val="17"/>
              </w:rPr>
            </w:pPr>
            <w:r w:rsidRPr="006B7F66">
              <w:rPr>
                <w:rFonts w:ascii="Arial" w:hAnsi="Arial" w:cs="Arial"/>
                <w:b/>
                <w:sz w:val="17"/>
                <w:szCs w:val="17"/>
              </w:rPr>
              <w:t>-763,218,659</w:t>
            </w:r>
          </w:p>
        </w:tc>
      </w:tr>
      <w:tr w:rsidR="008B2E49" w:rsidRPr="002D70DA" w:rsidTr="00791E59">
        <w:trPr>
          <w:trHeight w:val="79"/>
          <w:jc w:val="center"/>
        </w:trPr>
        <w:tc>
          <w:tcPr>
            <w:tcW w:w="3086" w:type="dxa"/>
            <w:tcBorders>
              <w:top w:val="nil"/>
              <w:left w:val="single" w:sz="4" w:space="0" w:color="auto"/>
              <w:bottom w:val="single" w:sz="4" w:space="0" w:color="auto"/>
              <w:right w:val="single" w:sz="4" w:space="0" w:color="auto"/>
            </w:tcBorders>
            <w:shd w:val="clear" w:color="000000" w:fill="FFFFFF"/>
            <w:vAlign w:val="center"/>
            <w:hideMark/>
          </w:tcPr>
          <w:p w:rsidR="008B2E49" w:rsidRPr="002D70DA" w:rsidRDefault="008B2E49" w:rsidP="008B2E49">
            <w:pPr>
              <w:rPr>
                <w:rFonts w:ascii="Arial" w:hAnsi="Arial" w:cs="Arial"/>
                <w:b/>
                <w:bCs/>
                <w:color w:val="000000"/>
                <w:sz w:val="17"/>
                <w:szCs w:val="17"/>
              </w:rPr>
            </w:pPr>
            <w:r w:rsidRPr="002D70DA">
              <w:rPr>
                <w:rFonts w:ascii="Arial" w:hAnsi="Arial" w:cs="Arial"/>
                <w:b/>
                <w:bCs/>
                <w:color w:val="000000"/>
                <w:sz w:val="17"/>
                <w:szCs w:val="17"/>
              </w:rPr>
              <w:t> </w:t>
            </w:r>
          </w:p>
        </w:tc>
        <w:tc>
          <w:tcPr>
            <w:tcW w:w="3087" w:type="dxa"/>
            <w:tcBorders>
              <w:top w:val="nil"/>
              <w:left w:val="nil"/>
              <w:bottom w:val="single" w:sz="4" w:space="0" w:color="auto"/>
              <w:right w:val="single" w:sz="4" w:space="0" w:color="auto"/>
            </w:tcBorders>
            <w:shd w:val="clear" w:color="auto" w:fill="auto"/>
            <w:hideMark/>
          </w:tcPr>
          <w:p w:rsidR="008B2E49" w:rsidRPr="008B2E49" w:rsidRDefault="008B2E49" w:rsidP="008B2E49">
            <w:pPr>
              <w:jc w:val="right"/>
              <w:rPr>
                <w:rFonts w:ascii="Arial" w:hAnsi="Arial" w:cs="Arial"/>
                <w:sz w:val="17"/>
                <w:szCs w:val="17"/>
              </w:rPr>
            </w:pPr>
          </w:p>
        </w:tc>
      </w:tr>
      <w:tr w:rsidR="008B2E49" w:rsidRPr="002D70DA" w:rsidTr="00791E59">
        <w:trPr>
          <w:trHeight w:val="153"/>
          <w:jc w:val="center"/>
        </w:trPr>
        <w:tc>
          <w:tcPr>
            <w:tcW w:w="3086" w:type="dxa"/>
            <w:tcBorders>
              <w:top w:val="nil"/>
              <w:left w:val="single" w:sz="4" w:space="0" w:color="auto"/>
              <w:bottom w:val="single" w:sz="4" w:space="0" w:color="auto"/>
              <w:right w:val="single" w:sz="4" w:space="0" w:color="auto"/>
            </w:tcBorders>
            <w:shd w:val="clear" w:color="000000" w:fill="FFFFFF"/>
            <w:vAlign w:val="center"/>
            <w:hideMark/>
          </w:tcPr>
          <w:p w:rsidR="008B2E49" w:rsidRPr="002D70DA" w:rsidRDefault="00791E59" w:rsidP="008B2E49">
            <w:pPr>
              <w:rPr>
                <w:rFonts w:ascii="Arial" w:hAnsi="Arial" w:cs="Arial"/>
                <w:b/>
                <w:bCs/>
                <w:color w:val="000000"/>
                <w:sz w:val="17"/>
                <w:szCs w:val="17"/>
              </w:rPr>
            </w:pPr>
            <w:r w:rsidRPr="002D70DA">
              <w:rPr>
                <w:rFonts w:ascii="Arial" w:hAnsi="Arial" w:cs="Arial"/>
                <w:b/>
                <w:bCs/>
                <w:color w:val="000000"/>
                <w:sz w:val="17"/>
                <w:szCs w:val="17"/>
              </w:rPr>
              <w:t>Resultados de ejercicios anteriores</w:t>
            </w:r>
          </w:p>
        </w:tc>
        <w:tc>
          <w:tcPr>
            <w:tcW w:w="3087" w:type="dxa"/>
            <w:tcBorders>
              <w:top w:val="nil"/>
              <w:left w:val="nil"/>
              <w:bottom w:val="single" w:sz="4" w:space="0" w:color="auto"/>
              <w:right w:val="single" w:sz="4" w:space="0" w:color="auto"/>
            </w:tcBorders>
            <w:shd w:val="clear" w:color="auto" w:fill="auto"/>
            <w:hideMark/>
          </w:tcPr>
          <w:p w:rsidR="008B2E49" w:rsidRPr="008B2E49" w:rsidRDefault="006B7F66" w:rsidP="008B2E49">
            <w:pPr>
              <w:jc w:val="right"/>
              <w:rPr>
                <w:rFonts w:ascii="Arial" w:hAnsi="Arial" w:cs="Arial"/>
                <w:b/>
                <w:sz w:val="17"/>
                <w:szCs w:val="17"/>
              </w:rPr>
            </w:pPr>
            <w:r w:rsidRPr="006B7F66">
              <w:rPr>
                <w:rFonts w:ascii="Arial" w:hAnsi="Arial" w:cs="Arial"/>
                <w:b/>
                <w:sz w:val="17"/>
                <w:szCs w:val="17"/>
              </w:rPr>
              <w:t>1,629,204,587</w:t>
            </w:r>
          </w:p>
        </w:tc>
      </w:tr>
      <w:tr w:rsidR="008B2E49" w:rsidRPr="002D70DA" w:rsidTr="00791E59">
        <w:trPr>
          <w:trHeight w:val="53"/>
          <w:jc w:val="center"/>
        </w:trPr>
        <w:tc>
          <w:tcPr>
            <w:tcW w:w="3086" w:type="dxa"/>
            <w:tcBorders>
              <w:top w:val="nil"/>
              <w:left w:val="single" w:sz="4" w:space="0" w:color="auto"/>
              <w:bottom w:val="single" w:sz="4" w:space="0" w:color="auto"/>
              <w:right w:val="single" w:sz="4" w:space="0" w:color="auto"/>
            </w:tcBorders>
            <w:shd w:val="clear" w:color="000000" w:fill="FFFFFF"/>
            <w:vAlign w:val="center"/>
            <w:hideMark/>
          </w:tcPr>
          <w:p w:rsidR="008B2E49" w:rsidRPr="002D70DA" w:rsidRDefault="008B2E49" w:rsidP="008B2E49">
            <w:pPr>
              <w:rPr>
                <w:rFonts w:ascii="Arial" w:hAnsi="Arial" w:cs="Arial"/>
                <w:b/>
                <w:bCs/>
                <w:color w:val="000000"/>
                <w:sz w:val="17"/>
                <w:szCs w:val="17"/>
              </w:rPr>
            </w:pPr>
            <w:r w:rsidRPr="002D70DA">
              <w:rPr>
                <w:rFonts w:ascii="Arial" w:hAnsi="Arial" w:cs="Arial"/>
                <w:b/>
                <w:bCs/>
                <w:color w:val="000000"/>
                <w:sz w:val="17"/>
                <w:szCs w:val="17"/>
              </w:rPr>
              <w:t> </w:t>
            </w:r>
          </w:p>
        </w:tc>
        <w:tc>
          <w:tcPr>
            <w:tcW w:w="3087" w:type="dxa"/>
            <w:tcBorders>
              <w:top w:val="nil"/>
              <w:left w:val="nil"/>
              <w:bottom w:val="single" w:sz="4" w:space="0" w:color="auto"/>
              <w:right w:val="single" w:sz="4" w:space="0" w:color="auto"/>
            </w:tcBorders>
            <w:shd w:val="clear" w:color="auto" w:fill="auto"/>
            <w:hideMark/>
          </w:tcPr>
          <w:p w:rsidR="008B2E49" w:rsidRPr="008B2E49" w:rsidRDefault="008B2E49" w:rsidP="008B2E49">
            <w:pPr>
              <w:jc w:val="right"/>
              <w:rPr>
                <w:rFonts w:ascii="Arial" w:hAnsi="Arial" w:cs="Arial"/>
                <w:sz w:val="17"/>
                <w:szCs w:val="17"/>
              </w:rPr>
            </w:pPr>
          </w:p>
        </w:tc>
      </w:tr>
      <w:tr w:rsidR="008B2E49" w:rsidRPr="002D70DA" w:rsidTr="00CC7032">
        <w:trPr>
          <w:trHeight w:val="240"/>
          <w:jc w:val="center"/>
        </w:trPr>
        <w:tc>
          <w:tcPr>
            <w:tcW w:w="3086" w:type="dxa"/>
            <w:tcBorders>
              <w:top w:val="nil"/>
              <w:left w:val="single" w:sz="4" w:space="0" w:color="auto"/>
              <w:bottom w:val="single" w:sz="4" w:space="0" w:color="auto"/>
              <w:right w:val="single" w:sz="4" w:space="0" w:color="auto"/>
            </w:tcBorders>
            <w:shd w:val="clear" w:color="000000" w:fill="FFFFFF"/>
            <w:vAlign w:val="center"/>
            <w:hideMark/>
          </w:tcPr>
          <w:p w:rsidR="008B2E49" w:rsidRPr="002D70DA" w:rsidRDefault="00791E59" w:rsidP="008B2E49">
            <w:pPr>
              <w:rPr>
                <w:rFonts w:ascii="Arial" w:hAnsi="Arial" w:cs="Arial"/>
                <w:b/>
                <w:bCs/>
                <w:color w:val="000000"/>
                <w:sz w:val="17"/>
                <w:szCs w:val="17"/>
              </w:rPr>
            </w:pPr>
            <w:r w:rsidRPr="002D70DA">
              <w:rPr>
                <w:rFonts w:ascii="Arial" w:hAnsi="Arial" w:cs="Arial"/>
                <w:b/>
                <w:bCs/>
                <w:color w:val="000000"/>
                <w:sz w:val="17"/>
                <w:szCs w:val="17"/>
              </w:rPr>
              <w:t>Revalúos</w:t>
            </w:r>
          </w:p>
        </w:tc>
        <w:tc>
          <w:tcPr>
            <w:tcW w:w="3087" w:type="dxa"/>
            <w:tcBorders>
              <w:top w:val="nil"/>
              <w:left w:val="nil"/>
              <w:bottom w:val="single" w:sz="4" w:space="0" w:color="auto"/>
              <w:right w:val="single" w:sz="4" w:space="0" w:color="auto"/>
            </w:tcBorders>
            <w:shd w:val="clear" w:color="auto" w:fill="auto"/>
            <w:hideMark/>
          </w:tcPr>
          <w:p w:rsidR="008B2E49" w:rsidRPr="008B2E49" w:rsidRDefault="006B7F66" w:rsidP="008B2E49">
            <w:pPr>
              <w:jc w:val="right"/>
              <w:rPr>
                <w:rFonts w:ascii="Arial" w:hAnsi="Arial" w:cs="Arial"/>
                <w:b/>
                <w:sz w:val="17"/>
                <w:szCs w:val="17"/>
              </w:rPr>
            </w:pPr>
            <w:r w:rsidRPr="006B7F66">
              <w:rPr>
                <w:rFonts w:ascii="Arial" w:hAnsi="Arial" w:cs="Arial"/>
                <w:b/>
                <w:sz w:val="17"/>
                <w:szCs w:val="17"/>
              </w:rPr>
              <w:t>4,408,606,282</w:t>
            </w:r>
          </w:p>
        </w:tc>
      </w:tr>
      <w:tr w:rsidR="008B2E49" w:rsidRPr="002D70DA" w:rsidTr="00791E59">
        <w:trPr>
          <w:trHeight w:val="107"/>
          <w:jc w:val="center"/>
        </w:trPr>
        <w:tc>
          <w:tcPr>
            <w:tcW w:w="3086" w:type="dxa"/>
            <w:tcBorders>
              <w:top w:val="nil"/>
              <w:left w:val="single" w:sz="4" w:space="0" w:color="auto"/>
              <w:bottom w:val="single" w:sz="4" w:space="0" w:color="auto"/>
              <w:right w:val="single" w:sz="4" w:space="0" w:color="auto"/>
            </w:tcBorders>
            <w:shd w:val="clear" w:color="000000" w:fill="FFFFFF"/>
            <w:vAlign w:val="center"/>
            <w:hideMark/>
          </w:tcPr>
          <w:p w:rsidR="008B2E49" w:rsidRPr="002D70DA" w:rsidRDefault="008B2E49" w:rsidP="008B2E49">
            <w:pPr>
              <w:rPr>
                <w:rFonts w:ascii="Arial" w:hAnsi="Arial" w:cs="Arial"/>
                <w:color w:val="000000"/>
                <w:sz w:val="17"/>
                <w:szCs w:val="17"/>
              </w:rPr>
            </w:pPr>
            <w:r w:rsidRPr="002D70DA">
              <w:rPr>
                <w:rFonts w:ascii="Arial" w:hAnsi="Arial" w:cs="Arial"/>
                <w:color w:val="000000"/>
                <w:sz w:val="17"/>
                <w:szCs w:val="17"/>
              </w:rPr>
              <w:t> </w:t>
            </w:r>
          </w:p>
        </w:tc>
        <w:tc>
          <w:tcPr>
            <w:tcW w:w="3087" w:type="dxa"/>
            <w:tcBorders>
              <w:top w:val="nil"/>
              <w:left w:val="nil"/>
              <w:bottom w:val="single" w:sz="4" w:space="0" w:color="auto"/>
              <w:right w:val="single" w:sz="4" w:space="0" w:color="auto"/>
            </w:tcBorders>
            <w:shd w:val="clear" w:color="000000" w:fill="FFFFFF"/>
            <w:hideMark/>
          </w:tcPr>
          <w:p w:rsidR="008B2E49" w:rsidRPr="008B2E49" w:rsidRDefault="008B2E49" w:rsidP="008B2E49">
            <w:pPr>
              <w:jc w:val="right"/>
              <w:rPr>
                <w:rFonts w:ascii="Arial" w:hAnsi="Arial" w:cs="Arial"/>
                <w:sz w:val="17"/>
                <w:szCs w:val="17"/>
              </w:rPr>
            </w:pPr>
          </w:p>
        </w:tc>
      </w:tr>
      <w:tr w:rsidR="008B2E49" w:rsidRPr="002D70DA" w:rsidTr="00791E59">
        <w:trPr>
          <w:trHeight w:val="323"/>
          <w:jc w:val="center"/>
        </w:trPr>
        <w:tc>
          <w:tcPr>
            <w:tcW w:w="3086" w:type="dxa"/>
            <w:tcBorders>
              <w:top w:val="nil"/>
              <w:left w:val="single" w:sz="4" w:space="0" w:color="auto"/>
              <w:bottom w:val="single" w:sz="4" w:space="0" w:color="auto"/>
              <w:right w:val="single" w:sz="4" w:space="0" w:color="auto"/>
            </w:tcBorders>
            <w:shd w:val="clear" w:color="000000" w:fill="FFFFFF"/>
            <w:vAlign w:val="center"/>
            <w:hideMark/>
          </w:tcPr>
          <w:p w:rsidR="008B2E49" w:rsidRPr="002D70DA" w:rsidRDefault="00791E59" w:rsidP="008B2E49">
            <w:pPr>
              <w:rPr>
                <w:rFonts w:ascii="Arial" w:hAnsi="Arial" w:cs="Arial"/>
                <w:b/>
                <w:bCs/>
                <w:color w:val="000000"/>
                <w:sz w:val="17"/>
                <w:szCs w:val="17"/>
              </w:rPr>
            </w:pPr>
            <w:r w:rsidRPr="002D70DA">
              <w:rPr>
                <w:rFonts w:ascii="Arial" w:hAnsi="Arial" w:cs="Arial"/>
                <w:b/>
                <w:bCs/>
                <w:color w:val="000000"/>
                <w:sz w:val="17"/>
                <w:szCs w:val="17"/>
              </w:rPr>
              <w:t>Rectificaciones de resultados de ejercicios anteriores</w:t>
            </w:r>
          </w:p>
        </w:tc>
        <w:tc>
          <w:tcPr>
            <w:tcW w:w="3087" w:type="dxa"/>
            <w:tcBorders>
              <w:top w:val="nil"/>
              <w:left w:val="nil"/>
              <w:bottom w:val="single" w:sz="4" w:space="0" w:color="auto"/>
              <w:right w:val="single" w:sz="4" w:space="0" w:color="auto"/>
            </w:tcBorders>
            <w:shd w:val="clear" w:color="auto" w:fill="auto"/>
            <w:hideMark/>
          </w:tcPr>
          <w:p w:rsidR="008B2E49" w:rsidRPr="008B2E49" w:rsidRDefault="00186BCA" w:rsidP="00FC36E3">
            <w:pPr>
              <w:jc w:val="right"/>
              <w:rPr>
                <w:rFonts w:ascii="Arial" w:hAnsi="Arial" w:cs="Arial"/>
                <w:b/>
                <w:sz w:val="17"/>
                <w:szCs w:val="17"/>
              </w:rPr>
            </w:pPr>
            <w:r w:rsidRPr="00186BCA">
              <w:rPr>
                <w:rFonts w:ascii="Arial" w:hAnsi="Arial" w:cs="Arial"/>
                <w:b/>
                <w:sz w:val="17"/>
                <w:szCs w:val="17"/>
              </w:rPr>
              <w:t>-</w:t>
            </w:r>
            <w:r w:rsidR="006B7F66" w:rsidRPr="006B7F66">
              <w:rPr>
                <w:rFonts w:ascii="Arial" w:hAnsi="Arial" w:cs="Arial"/>
                <w:b/>
                <w:sz w:val="17"/>
                <w:szCs w:val="17"/>
              </w:rPr>
              <w:t>674,203,944</w:t>
            </w:r>
          </w:p>
        </w:tc>
      </w:tr>
    </w:tbl>
    <w:p w:rsidR="00730BB8" w:rsidRDefault="00730BB8" w:rsidP="00730BB8">
      <w:pPr>
        <w:spacing w:before="80" w:line="250" w:lineRule="exact"/>
        <w:ind w:left="709"/>
        <w:jc w:val="both"/>
        <w:rPr>
          <w:rFonts w:ascii="Arial" w:eastAsia="Calibri" w:hAnsi="Arial" w:cs="Arial"/>
          <w:spacing w:val="-1"/>
          <w:sz w:val="17"/>
          <w:szCs w:val="17"/>
        </w:rPr>
      </w:pPr>
    </w:p>
    <w:p w:rsidR="00730BB8" w:rsidRDefault="00730BB8" w:rsidP="00730BB8">
      <w:pPr>
        <w:spacing w:before="80" w:line="250" w:lineRule="exact"/>
        <w:ind w:left="709"/>
        <w:jc w:val="both"/>
        <w:rPr>
          <w:rFonts w:ascii="Arial" w:eastAsia="Calibri" w:hAnsi="Arial" w:cs="Arial"/>
          <w:spacing w:val="-1"/>
          <w:sz w:val="17"/>
          <w:szCs w:val="17"/>
        </w:rPr>
      </w:pPr>
      <w:r w:rsidRPr="00730BB8">
        <w:rPr>
          <w:rFonts w:ascii="Arial" w:eastAsia="Calibri" w:hAnsi="Arial" w:cs="Arial"/>
          <w:spacing w:val="-1"/>
          <w:sz w:val="17"/>
          <w:szCs w:val="17"/>
        </w:rPr>
        <w:t>Revalúos</w:t>
      </w:r>
      <w:r>
        <w:rPr>
          <w:rFonts w:ascii="Arial" w:eastAsia="Calibri" w:hAnsi="Arial" w:cs="Arial"/>
          <w:spacing w:val="-1"/>
          <w:sz w:val="17"/>
          <w:szCs w:val="17"/>
        </w:rPr>
        <w:t xml:space="preserve"> registrados por el Poder Ejecutivo por un importe de </w:t>
      </w:r>
      <w:r w:rsidR="00175EBB" w:rsidRPr="00175EBB">
        <w:rPr>
          <w:rFonts w:ascii="Arial" w:eastAsia="Calibri" w:hAnsi="Arial" w:cs="Arial"/>
          <w:spacing w:val="-1"/>
          <w:sz w:val="17"/>
          <w:szCs w:val="17"/>
        </w:rPr>
        <w:t>4,391,788,680</w:t>
      </w:r>
      <w:r>
        <w:rPr>
          <w:rFonts w:ascii="Arial" w:eastAsia="Calibri" w:hAnsi="Arial" w:cs="Arial"/>
          <w:spacing w:val="-1"/>
          <w:sz w:val="17"/>
          <w:szCs w:val="17"/>
        </w:rPr>
        <w:t xml:space="preserve">, </w:t>
      </w:r>
      <w:r w:rsidR="00175EBB">
        <w:rPr>
          <w:rFonts w:ascii="Arial" w:eastAsia="Calibri" w:hAnsi="Arial" w:cs="Arial"/>
          <w:spacing w:val="-1"/>
          <w:sz w:val="17"/>
          <w:szCs w:val="17"/>
        </w:rPr>
        <w:t xml:space="preserve">por el Poder Legislativo por un importe de </w:t>
      </w:r>
      <w:r w:rsidR="00175EBB" w:rsidRPr="00175EBB">
        <w:rPr>
          <w:rFonts w:ascii="Arial" w:eastAsia="Calibri" w:hAnsi="Arial" w:cs="Arial"/>
          <w:spacing w:val="-1"/>
          <w:sz w:val="17"/>
          <w:szCs w:val="17"/>
        </w:rPr>
        <w:t>12,677,794</w:t>
      </w:r>
      <w:r w:rsidR="00175EBB">
        <w:rPr>
          <w:rFonts w:ascii="Arial" w:eastAsia="Calibri" w:hAnsi="Arial" w:cs="Arial"/>
          <w:spacing w:val="-1"/>
          <w:sz w:val="17"/>
          <w:szCs w:val="17"/>
        </w:rPr>
        <w:t xml:space="preserve">, </w:t>
      </w:r>
      <w:r>
        <w:rPr>
          <w:rFonts w:ascii="Arial" w:eastAsia="Calibri" w:hAnsi="Arial" w:cs="Arial"/>
          <w:spacing w:val="-1"/>
          <w:sz w:val="17"/>
          <w:szCs w:val="17"/>
        </w:rPr>
        <w:t>por l</w:t>
      </w:r>
      <w:r w:rsidR="00186BCA">
        <w:rPr>
          <w:rFonts w:ascii="Arial" w:eastAsia="Calibri" w:hAnsi="Arial" w:cs="Arial"/>
          <w:spacing w:val="-1"/>
          <w:sz w:val="17"/>
          <w:szCs w:val="17"/>
        </w:rPr>
        <w:t>a</w:t>
      </w:r>
      <w:r>
        <w:rPr>
          <w:rFonts w:ascii="Arial" w:eastAsia="Calibri" w:hAnsi="Arial" w:cs="Arial"/>
          <w:spacing w:val="-1"/>
          <w:sz w:val="17"/>
          <w:szCs w:val="17"/>
        </w:rPr>
        <w:t xml:space="preserve"> </w:t>
      </w:r>
      <w:r w:rsidR="00186BCA" w:rsidRPr="00186BCA">
        <w:rPr>
          <w:rFonts w:ascii="Arial" w:eastAsia="Calibri" w:hAnsi="Arial" w:cs="Arial"/>
          <w:spacing w:val="-1"/>
          <w:sz w:val="17"/>
          <w:szCs w:val="17"/>
        </w:rPr>
        <w:t>Comisión de Transparencia y Acceso a la Información Pública del Estado de Querétaro</w:t>
      </w:r>
      <w:r w:rsidR="00186BCA">
        <w:rPr>
          <w:rFonts w:ascii="Arial" w:eastAsia="Calibri" w:hAnsi="Arial" w:cs="Arial"/>
          <w:spacing w:val="-1"/>
          <w:sz w:val="17"/>
          <w:szCs w:val="17"/>
        </w:rPr>
        <w:t xml:space="preserve"> </w:t>
      </w:r>
      <w:r>
        <w:rPr>
          <w:rFonts w:ascii="Arial" w:eastAsia="Calibri" w:hAnsi="Arial" w:cs="Arial"/>
          <w:spacing w:val="-1"/>
          <w:sz w:val="17"/>
          <w:szCs w:val="17"/>
        </w:rPr>
        <w:t xml:space="preserve">por un importe de </w:t>
      </w:r>
      <w:r w:rsidR="00175EBB" w:rsidRPr="00175EBB">
        <w:rPr>
          <w:rFonts w:ascii="Arial" w:eastAsia="Calibri" w:hAnsi="Arial" w:cs="Arial"/>
          <w:spacing w:val="-1"/>
          <w:sz w:val="17"/>
          <w:szCs w:val="17"/>
        </w:rPr>
        <w:t>49,338</w:t>
      </w:r>
      <w:r w:rsidR="00175EBB">
        <w:rPr>
          <w:rFonts w:ascii="Arial" w:eastAsia="Calibri" w:hAnsi="Arial" w:cs="Arial"/>
          <w:spacing w:val="-1"/>
          <w:sz w:val="17"/>
          <w:szCs w:val="17"/>
        </w:rPr>
        <w:t xml:space="preserve">, por el </w:t>
      </w:r>
      <w:r w:rsidR="00175EBB" w:rsidRPr="00175EBB">
        <w:rPr>
          <w:rFonts w:ascii="Arial" w:eastAsia="Calibri" w:hAnsi="Arial" w:cs="Arial"/>
          <w:spacing w:val="-1"/>
          <w:sz w:val="17"/>
          <w:szCs w:val="17"/>
        </w:rPr>
        <w:t>Instituto Electoral del Estado de Querétaro</w:t>
      </w:r>
      <w:r w:rsidR="00175EBB">
        <w:rPr>
          <w:rFonts w:ascii="Arial" w:eastAsia="Calibri" w:hAnsi="Arial" w:cs="Arial"/>
          <w:spacing w:val="-1"/>
          <w:sz w:val="17"/>
          <w:szCs w:val="17"/>
        </w:rPr>
        <w:t xml:space="preserve"> por un importe de </w:t>
      </w:r>
      <w:r w:rsidR="00175EBB" w:rsidRPr="00175EBB">
        <w:rPr>
          <w:rFonts w:ascii="Arial" w:eastAsia="Calibri" w:hAnsi="Arial" w:cs="Arial"/>
          <w:spacing w:val="-1"/>
          <w:sz w:val="17"/>
          <w:szCs w:val="17"/>
        </w:rPr>
        <w:t>4,090,470</w:t>
      </w:r>
    </w:p>
    <w:p w:rsidR="00730BB8" w:rsidRDefault="00730BB8" w:rsidP="00730BB8">
      <w:pPr>
        <w:spacing w:before="80" w:line="250" w:lineRule="exact"/>
        <w:ind w:left="709"/>
        <w:jc w:val="both"/>
        <w:rPr>
          <w:rFonts w:ascii="Arial" w:eastAsia="Calibri" w:hAnsi="Arial" w:cs="Arial"/>
          <w:spacing w:val="-1"/>
          <w:sz w:val="17"/>
          <w:szCs w:val="17"/>
        </w:rPr>
      </w:pPr>
    </w:p>
    <w:p w:rsidR="00730BB8" w:rsidRDefault="00730BB8">
      <w:pPr>
        <w:rPr>
          <w:rFonts w:ascii="Arial" w:eastAsia="Calibri" w:hAnsi="Arial" w:cs="Arial"/>
          <w:spacing w:val="-1"/>
          <w:sz w:val="17"/>
          <w:szCs w:val="17"/>
        </w:rPr>
      </w:pPr>
    </w:p>
    <w:p w:rsidR="00730BB8" w:rsidRDefault="00730BB8">
      <w:pPr>
        <w:rPr>
          <w:rFonts w:ascii="Arial" w:eastAsia="Calibri" w:hAnsi="Arial" w:cs="Arial"/>
          <w:spacing w:val="-1"/>
          <w:sz w:val="17"/>
          <w:szCs w:val="17"/>
        </w:rPr>
      </w:pPr>
    </w:p>
    <w:p w:rsidR="00C462F7" w:rsidRPr="002D70DA" w:rsidRDefault="00C462F7">
      <w:pPr>
        <w:rPr>
          <w:rFonts w:ascii="Arial" w:eastAsia="Calibri" w:hAnsi="Arial" w:cs="Arial"/>
          <w:spacing w:val="-1"/>
          <w:sz w:val="17"/>
          <w:szCs w:val="17"/>
        </w:rPr>
      </w:pPr>
      <w:r w:rsidRPr="002D70DA">
        <w:rPr>
          <w:rFonts w:ascii="Arial" w:eastAsia="Calibri" w:hAnsi="Arial" w:cs="Arial"/>
          <w:spacing w:val="-1"/>
          <w:sz w:val="17"/>
          <w:szCs w:val="17"/>
        </w:rPr>
        <w:br w:type="page"/>
      </w:r>
    </w:p>
    <w:p w:rsidR="00F97BAC" w:rsidRPr="00517326" w:rsidRDefault="00F97BAC" w:rsidP="00795E45">
      <w:pPr>
        <w:pStyle w:val="Prrafodelista"/>
        <w:numPr>
          <w:ilvl w:val="0"/>
          <w:numId w:val="10"/>
        </w:numPr>
        <w:autoSpaceDE w:val="0"/>
        <w:autoSpaceDN w:val="0"/>
        <w:adjustRightInd w:val="0"/>
        <w:spacing w:before="240" w:after="120"/>
        <w:jc w:val="both"/>
        <w:rPr>
          <w:rFonts w:ascii="Arial" w:hAnsi="Arial" w:cs="Arial"/>
          <w:b/>
          <w:sz w:val="17"/>
          <w:szCs w:val="17"/>
        </w:rPr>
      </w:pPr>
      <w:r w:rsidRPr="00517326">
        <w:rPr>
          <w:rFonts w:ascii="Arial" w:hAnsi="Arial" w:cs="Arial"/>
          <w:b/>
          <w:sz w:val="17"/>
          <w:szCs w:val="17"/>
        </w:rPr>
        <w:lastRenderedPageBreak/>
        <w:t xml:space="preserve">Notas al Estado de </w:t>
      </w:r>
      <w:r w:rsidR="00E723B7" w:rsidRPr="00517326">
        <w:rPr>
          <w:rFonts w:ascii="Arial" w:hAnsi="Arial" w:cs="Arial"/>
          <w:b/>
          <w:sz w:val="17"/>
          <w:szCs w:val="17"/>
        </w:rPr>
        <w:t>Flujos de Efectivo</w:t>
      </w:r>
    </w:p>
    <w:p w:rsidR="00F97BAC" w:rsidRPr="002D70DA" w:rsidRDefault="00E723B7" w:rsidP="00F97BAC">
      <w:pPr>
        <w:autoSpaceDE w:val="0"/>
        <w:autoSpaceDN w:val="0"/>
        <w:adjustRightInd w:val="0"/>
        <w:spacing w:before="240" w:after="120"/>
        <w:jc w:val="both"/>
        <w:rPr>
          <w:rFonts w:ascii="Arial" w:hAnsi="Arial" w:cs="Arial"/>
          <w:b/>
          <w:sz w:val="17"/>
          <w:szCs w:val="17"/>
        </w:rPr>
      </w:pPr>
      <w:r w:rsidRPr="002D70DA">
        <w:rPr>
          <w:rFonts w:ascii="Arial" w:hAnsi="Arial" w:cs="Arial"/>
          <w:b/>
          <w:sz w:val="17"/>
          <w:szCs w:val="17"/>
        </w:rPr>
        <w:t>Efectivo y equivalentes</w:t>
      </w:r>
    </w:p>
    <w:p w:rsidR="00E72587" w:rsidRPr="002D70DA" w:rsidRDefault="00E72587" w:rsidP="0081697F">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El análisis de los saldos inicial y final que figuran en la última parte del Estado de Flujo de Efectivo en la cuenta de efectivo y equivalentes es como sigue:</w:t>
      </w:r>
    </w:p>
    <w:p w:rsidR="00E72587" w:rsidRPr="002D70DA" w:rsidRDefault="00E72587" w:rsidP="00E72587">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E72587" w:rsidRPr="002D70DA" w:rsidTr="0081697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72587" w:rsidRPr="002D70DA" w:rsidRDefault="0081697F">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E72587" w:rsidRPr="002D70DA" w:rsidRDefault="00FD7D84" w:rsidP="00C91571">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E72587" w:rsidRPr="002D70DA" w:rsidRDefault="00FD7D84" w:rsidP="00C91571">
            <w:pPr>
              <w:jc w:val="center"/>
              <w:rPr>
                <w:rFonts w:ascii="Arial" w:hAnsi="Arial" w:cs="Arial"/>
                <w:b/>
                <w:bCs/>
                <w:color w:val="000000"/>
                <w:sz w:val="17"/>
                <w:szCs w:val="17"/>
              </w:rPr>
            </w:pPr>
            <w:r>
              <w:rPr>
                <w:rFonts w:ascii="Arial" w:hAnsi="Arial" w:cs="Arial"/>
                <w:b/>
                <w:bCs/>
                <w:color w:val="000000"/>
                <w:sz w:val="17"/>
                <w:szCs w:val="17"/>
              </w:rPr>
              <w:t>2019</w:t>
            </w:r>
          </w:p>
        </w:tc>
      </w:tr>
      <w:tr w:rsidR="00A02011" w:rsidRPr="002D70DA" w:rsidTr="002342BD">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A02011" w:rsidRPr="002D70DA" w:rsidRDefault="00A02011" w:rsidP="00A02011">
            <w:pPr>
              <w:rPr>
                <w:rFonts w:ascii="Arial" w:hAnsi="Arial" w:cs="Arial"/>
                <w:color w:val="000000"/>
                <w:sz w:val="17"/>
                <w:szCs w:val="17"/>
              </w:rPr>
            </w:pPr>
            <w:r w:rsidRPr="002D70DA">
              <w:rPr>
                <w:rFonts w:ascii="Arial" w:hAnsi="Arial" w:cs="Arial"/>
                <w:color w:val="000000"/>
                <w:sz w:val="17"/>
                <w:szCs w:val="17"/>
              </w:rPr>
              <w:t>Efectivo</w:t>
            </w:r>
          </w:p>
        </w:tc>
        <w:tc>
          <w:tcPr>
            <w:tcW w:w="2180" w:type="dxa"/>
            <w:tcBorders>
              <w:top w:val="nil"/>
              <w:left w:val="nil"/>
              <w:bottom w:val="single" w:sz="4" w:space="0" w:color="auto"/>
              <w:right w:val="single" w:sz="4" w:space="0" w:color="auto"/>
            </w:tcBorders>
            <w:shd w:val="clear" w:color="000000" w:fill="FFFFFF"/>
          </w:tcPr>
          <w:p w:rsidR="00A02011" w:rsidRPr="00A02011" w:rsidRDefault="00A02011" w:rsidP="00A02011">
            <w:pPr>
              <w:jc w:val="right"/>
              <w:rPr>
                <w:rFonts w:ascii="Arial" w:hAnsi="Arial" w:cs="Arial"/>
                <w:sz w:val="17"/>
                <w:szCs w:val="17"/>
              </w:rPr>
            </w:pPr>
            <w:r w:rsidRPr="00A02011">
              <w:rPr>
                <w:rFonts w:ascii="Arial" w:hAnsi="Arial" w:cs="Arial"/>
                <w:sz w:val="17"/>
                <w:szCs w:val="17"/>
              </w:rPr>
              <w:t xml:space="preserve">-2,859,145 </w:t>
            </w:r>
          </w:p>
        </w:tc>
        <w:tc>
          <w:tcPr>
            <w:tcW w:w="2180" w:type="dxa"/>
            <w:tcBorders>
              <w:top w:val="nil"/>
              <w:left w:val="nil"/>
              <w:bottom w:val="single" w:sz="4" w:space="0" w:color="auto"/>
              <w:right w:val="single" w:sz="4" w:space="0" w:color="auto"/>
            </w:tcBorders>
            <w:shd w:val="clear" w:color="000000" w:fill="FFFFFF"/>
          </w:tcPr>
          <w:p w:rsidR="00A02011" w:rsidRPr="00A02011" w:rsidRDefault="00A02011" w:rsidP="00A02011">
            <w:pPr>
              <w:jc w:val="right"/>
              <w:rPr>
                <w:rFonts w:ascii="Arial" w:hAnsi="Arial" w:cs="Arial"/>
                <w:sz w:val="17"/>
                <w:szCs w:val="17"/>
              </w:rPr>
            </w:pPr>
            <w:r w:rsidRPr="00A02011">
              <w:rPr>
                <w:rFonts w:ascii="Arial" w:hAnsi="Arial" w:cs="Arial"/>
                <w:sz w:val="17"/>
                <w:szCs w:val="17"/>
              </w:rPr>
              <w:t>-2,872,637</w:t>
            </w:r>
          </w:p>
        </w:tc>
      </w:tr>
      <w:tr w:rsidR="00A02011" w:rsidRPr="002D70DA" w:rsidTr="002342BD">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A02011" w:rsidRPr="002D70DA" w:rsidRDefault="00A02011" w:rsidP="00A02011">
            <w:pPr>
              <w:rPr>
                <w:rFonts w:ascii="Arial" w:hAnsi="Arial" w:cs="Arial"/>
                <w:color w:val="000000"/>
                <w:sz w:val="17"/>
                <w:szCs w:val="17"/>
              </w:rPr>
            </w:pPr>
            <w:r w:rsidRPr="002D70DA">
              <w:rPr>
                <w:rFonts w:ascii="Arial" w:hAnsi="Arial" w:cs="Arial"/>
                <w:color w:val="000000"/>
                <w:sz w:val="17"/>
                <w:szCs w:val="17"/>
              </w:rPr>
              <w:t>Efectivo en Bancos –Tesorería</w:t>
            </w:r>
          </w:p>
        </w:tc>
        <w:tc>
          <w:tcPr>
            <w:tcW w:w="2180" w:type="dxa"/>
            <w:tcBorders>
              <w:top w:val="nil"/>
              <w:left w:val="nil"/>
              <w:bottom w:val="single" w:sz="4" w:space="0" w:color="auto"/>
              <w:right w:val="single" w:sz="4" w:space="0" w:color="auto"/>
            </w:tcBorders>
            <w:shd w:val="clear" w:color="000000" w:fill="FFFFFF"/>
          </w:tcPr>
          <w:p w:rsidR="00A02011" w:rsidRPr="00A02011" w:rsidRDefault="00A02011" w:rsidP="00A02011">
            <w:pPr>
              <w:jc w:val="right"/>
              <w:rPr>
                <w:rFonts w:ascii="Arial" w:hAnsi="Arial" w:cs="Arial"/>
                <w:sz w:val="17"/>
                <w:szCs w:val="17"/>
              </w:rPr>
            </w:pPr>
            <w:r w:rsidRPr="00A02011">
              <w:rPr>
                <w:rFonts w:ascii="Arial" w:hAnsi="Arial" w:cs="Arial"/>
                <w:sz w:val="17"/>
                <w:szCs w:val="17"/>
              </w:rPr>
              <w:t xml:space="preserve">4,166,263,971 </w:t>
            </w:r>
          </w:p>
        </w:tc>
        <w:tc>
          <w:tcPr>
            <w:tcW w:w="2180" w:type="dxa"/>
            <w:tcBorders>
              <w:top w:val="nil"/>
              <w:left w:val="nil"/>
              <w:bottom w:val="single" w:sz="4" w:space="0" w:color="auto"/>
              <w:right w:val="single" w:sz="4" w:space="0" w:color="auto"/>
            </w:tcBorders>
            <w:shd w:val="clear" w:color="000000" w:fill="FFFFFF"/>
          </w:tcPr>
          <w:p w:rsidR="00A02011" w:rsidRPr="00A02011" w:rsidRDefault="00A02011" w:rsidP="00A02011">
            <w:pPr>
              <w:jc w:val="right"/>
              <w:rPr>
                <w:rFonts w:ascii="Arial" w:hAnsi="Arial" w:cs="Arial"/>
                <w:sz w:val="17"/>
                <w:szCs w:val="17"/>
              </w:rPr>
            </w:pPr>
            <w:r w:rsidRPr="00A02011">
              <w:rPr>
                <w:rFonts w:ascii="Arial" w:hAnsi="Arial" w:cs="Arial"/>
                <w:sz w:val="17"/>
                <w:szCs w:val="17"/>
              </w:rPr>
              <w:t>5,419,640,670</w:t>
            </w:r>
          </w:p>
        </w:tc>
      </w:tr>
      <w:tr w:rsidR="00A02011" w:rsidRPr="002D70DA" w:rsidTr="002342BD">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A02011" w:rsidRPr="002D70DA" w:rsidRDefault="00A02011" w:rsidP="00A02011">
            <w:pPr>
              <w:rPr>
                <w:rFonts w:ascii="Arial" w:hAnsi="Arial" w:cs="Arial"/>
                <w:color w:val="000000"/>
                <w:sz w:val="17"/>
                <w:szCs w:val="17"/>
              </w:rPr>
            </w:pPr>
            <w:r w:rsidRPr="002D70DA">
              <w:rPr>
                <w:rFonts w:ascii="Arial" w:hAnsi="Arial" w:cs="Arial"/>
                <w:color w:val="000000"/>
                <w:sz w:val="17"/>
                <w:szCs w:val="17"/>
              </w:rPr>
              <w:t>Efectivo en Bancos- Dependencias</w:t>
            </w:r>
          </w:p>
        </w:tc>
        <w:tc>
          <w:tcPr>
            <w:tcW w:w="2180" w:type="dxa"/>
            <w:tcBorders>
              <w:top w:val="nil"/>
              <w:left w:val="nil"/>
              <w:bottom w:val="single" w:sz="4" w:space="0" w:color="auto"/>
              <w:right w:val="single" w:sz="4" w:space="0" w:color="auto"/>
            </w:tcBorders>
            <w:shd w:val="clear" w:color="000000" w:fill="FFFFFF"/>
          </w:tcPr>
          <w:p w:rsidR="00A02011" w:rsidRPr="00A02011" w:rsidRDefault="00A02011" w:rsidP="00A02011">
            <w:pPr>
              <w:jc w:val="right"/>
              <w:rPr>
                <w:rFonts w:ascii="Arial" w:hAnsi="Arial" w:cs="Arial"/>
                <w:sz w:val="17"/>
                <w:szCs w:val="17"/>
              </w:rPr>
            </w:pPr>
            <w:r w:rsidRPr="00A02011">
              <w:rPr>
                <w:rFonts w:ascii="Arial" w:hAnsi="Arial" w:cs="Arial"/>
                <w:sz w:val="17"/>
                <w:szCs w:val="17"/>
              </w:rPr>
              <w:t xml:space="preserve">10,212,956 </w:t>
            </w:r>
          </w:p>
        </w:tc>
        <w:tc>
          <w:tcPr>
            <w:tcW w:w="2180" w:type="dxa"/>
            <w:tcBorders>
              <w:top w:val="nil"/>
              <w:left w:val="nil"/>
              <w:bottom w:val="single" w:sz="4" w:space="0" w:color="auto"/>
              <w:right w:val="single" w:sz="4" w:space="0" w:color="auto"/>
            </w:tcBorders>
            <w:shd w:val="clear" w:color="000000" w:fill="FFFFFF"/>
          </w:tcPr>
          <w:p w:rsidR="00A02011" w:rsidRPr="00A02011" w:rsidRDefault="00A02011" w:rsidP="00A02011">
            <w:pPr>
              <w:jc w:val="right"/>
              <w:rPr>
                <w:rFonts w:ascii="Arial" w:hAnsi="Arial" w:cs="Arial"/>
                <w:sz w:val="17"/>
                <w:szCs w:val="17"/>
              </w:rPr>
            </w:pPr>
            <w:r w:rsidRPr="00A02011">
              <w:rPr>
                <w:rFonts w:ascii="Arial" w:hAnsi="Arial" w:cs="Arial"/>
                <w:sz w:val="17"/>
                <w:szCs w:val="17"/>
              </w:rPr>
              <w:t>11,203,660</w:t>
            </w:r>
          </w:p>
        </w:tc>
      </w:tr>
      <w:tr w:rsidR="00A02011" w:rsidRPr="002D70DA" w:rsidTr="002342BD">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A02011" w:rsidRPr="002D70DA" w:rsidRDefault="00A02011" w:rsidP="00A02011">
            <w:pPr>
              <w:rPr>
                <w:rFonts w:ascii="Arial" w:hAnsi="Arial" w:cs="Arial"/>
                <w:color w:val="000000"/>
                <w:sz w:val="17"/>
                <w:szCs w:val="17"/>
              </w:rPr>
            </w:pPr>
            <w:r w:rsidRPr="002D70DA">
              <w:rPr>
                <w:rFonts w:ascii="Arial" w:hAnsi="Arial" w:cs="Arial"/>
                <w:color w:val="000000"/>
                <w:sz w:val="17"/>
                <w:szCs w:val="17"/>
              </w:rPr>
              <w:t>Inversiones Temporales (hasta 3 meses)</w:t>
            </w:r>
          </w:p>
        </w:tc>
        <w:tc>
          <w:tcPr>
            <w:tcW w:w="2180" w:type="dxa"/>
            <w:tcBorders>
              <w:top w:val="nil"/>
              <w:left w:val="nil"/>
              <w:bottom w:val="single" w:sz="4" w:space="0" w:color="auto"/>
              <w:right w:val="single" w:sz="4" w:space="0" w:color="auto"/>
            </w:tcBorders>
            <w:shd w:val="clear" w:color="000000" w:fill="FFFFFF"/>
          </w:tcPr>
          <w:p w:rsidR="00A02011" w:rsidRPr="00A02011" w:rsidRDefault="00A02011" w:rsidP="00A02011">
            <w:pPr>
              <w:jc w:val="right"/>
              <w:rPr>
                <w:rFonts w:ascii="Arial" w:hAnsi="Arial" w:cs="Arial"/>
                <w:sz w:val="17"/>
                <w:szCs w:val="17"/>
              </w:rPr>
            </w:pPr>
            <w:r w:rsidRPr="00A02011">
              <w:rPr>
                <w:rFonts w:ascii="Arial" w:hAnsi="Arial" w:cs="Arial"/>
                <w:sz w:val="17"/>
                <w:szCs w:val="17"/>
              </w:rPr>
              <w:t xml:space="preserve">586,977,246 </w:t>
            </w:r>
          </w:p>
        </w:tc>
        <w:tc>
          <w:tcPr>
            <w:tcW w:w="2180" w:type="dxa"/>
            <w:tcBorders>
              <w:top w:val="nil"/>
              <w:left w:val="nil"/>
              <w:bottom w:val="single" w:sz="4" w:space="0" w:color="auto"/>
              <w:right w:val="single" w:sz="4" w:space="0" w:color="auto"/>
            </w:tcBorders>
            <w:shd w:val="clear" w:color="000000" w:fill="FFFFFF"/>
          </w:tcPr>
          <w:p w:rsidR="00A02011" w:rsidRPr="00A02011" w:rsidRDefault="00A02011" w:rsidP="00A02011">
            <w:pPr>
              <w:jc w:val="right"/>
              <w:rPr>
                <w:rFonts w:ascii="Arial" w:hAnsi="Arial" w:cs="Arial"/>
                <w:sz w:val="17"/>
                <w:szCs w:val="17"/>
              </w:rPr>
            </w:pPr>
            <w:r w:rsidRPr="00A02011">
              <w:rPr>
                <w:rFonts w:ascii="Arial" w:hAnsi="Arial" w:cs="Arial"/>
                <w:sz w:val="17"/>
                <w:szCs w:val="17"/>
              </w:rPr>
              <w:t>768,621,870</w:t>
            </w:r>
          </w:p>
        </w:tc>
      </w:tr>
      <w:tr w:rsidR="00A02011" w:rsidRPr="002D70DA" w:rsidTr="004C3370">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A02011" w:rsidRPr="002D70DA" w:rsidRDefault="00A02011" w:rsidP="00A02011">
            <w:pPr>
              <w:rPr>
                <w:rFonts w:ascii="Arial" w:hAnsi="Arial" w:cs="Arial"/>
                <w:color w:val="000000"/>
                <w:sz w:val="17"/>
                <w:szCs w:val="17"/>
              </w:rPr>
            </w:pPr>
            <w:r w:rsidRPr="002D70DA">
              <w:rPr>
                <w:rFonts w:ascii="Arial" w:hAnsi="Arial" w:cs="Arial"/>
                <w:color w:val="000000"/>
                <w:sz w:val="17"/>
                <w:szCs w:val="17"/>
              </w:rPr>
              <w:t>Depósitos de Fondos de Terceros y Otros</w:t>
            </w:r>
          </w:p>
        </w:tc>
        <w:tc>
          <w:tcPr>
            <w:tcW w:w="2180" w:type="dxa"/>
            <w:tcBorders>
              <w:top w:val="nil"/>
              <w:left w:val="nil"/>
              <w:bottom w:val="single" w:sz="4" w:space="0" w:color="auto"/>
              <w:right w:val="single" w:sz="4" w:space="0" w:color="auto"/>
            </w:tcBorders>
            <w:shd w:val="clear" w:color="000000" w:fill="FFFFFF"/>
          </w:tcPr>
          <w:p w:rsidR="00A02011" w:rsidRPr="00D40C07" w:rsidRDefault="00A02011" w:rsidP="00A02011">
            <w:pPr>
              <w:jc w:val="right"/>
              <w:rPr>
                <w:rFonts w:ascii="Arial" w:hAnsi="Arial" w:cs="Arial"/>
                <w:sz w:val="17"/>
                <w:szCs w:val="17"/>
              </w:rPr>
            </w:pPr>
            <w:r w:rsidRPr="00A02011">
              <w:rPr>
                <w:rFonts w:ascii="Arial" w:hAnsi="Arial" w:cs="Arial"/>
                <w:sz w:val="17"/>
                <w:szCs w:val="17"/>
              </w:rPr>
              <w:t>48,718,173</w:t>
            </w:r>
          </w:p>
        </w:tc>
        <w:tc>
          <w:tcPr>
            <w:tcW w:w="2180" w:type="dxa"/>
            <w:tcBorders>
              <w:top w:val="nil"/>
              <w:left w:val="nil"/>
              <w:bottom w:val="single" w:sz="4" w:space="0" w:color="auto"/>
              <w:right w:val="single" w:sz="4" w:space="0" w:color="auto"/>
            </w:tcBorders>
            <w:shd w:val="clear" w:color="000000" w:fill="FFFFFF"/>
          </w:tcPr>
          <w:p w:rsidR="00A02011" w:rsidRPr="00A02011" w:rsidRDefault="00A02011" w:rsidP="00A02011">
            <w:pPr>
              <w:jc w:val="right"/>
              <w:rPr>
                <w:rFonts w:ascii="Arial" w:hAnsi="Arial" w:cs="Arial"/>
                <w:sz w:val="17"/>
                <w:szCs w:val="17"/>
              </w:rPr>
            </w:pPr>
            <w:r w:rsidRPr="00A02011">
              <w:rPr>
                <w:rFonts w:ascii="Arial" w:hAnsi="Arial" w:cs="Arial"/>
                <w:sz w:val="17"/>
                <w:szCs w:val="17"/>
              </w:rPr>
              <w:t>46,474,110</w:t>
            </w:r>
          </w:p>
        </w:tc>
      </w:tr>
      <w:tr w:rsidR="00A02011" w:rsidRPr="002D70DA" w:rsidTr="009831D5">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A02011" w:rsidRPr="002D70DA" w:rsidRDefault="00A02011" w:rsidP="00A02011">
            <w:pPr>
              <w:jc w:val="center"/>
              <w:rPr>
                <w:rFonts w:ascii="Arial" w:hAnsi="Arial" w:cs="Arial"/>
                <w:b/>
                <w:bCs/>
                <w:color w:val="000000"/>
                <w:sz w:val="17"/>
                <w:szCs w:val="17"/>
              </w:rPr>
            </w:pPr>
            <w:r w:rsidRPr="002D70DA">
              <w:rPr>
                <w:rFonts w:ascii="Arial" w:hAnsi="Arial" w:cs="Arial"/>
                <w:b/>
                <w:bCs/>
                <w:color w:val="000000"/>
                <w:sz w:val="17"/>
                <w:szCs w:val="17"/>
              </w:rPr>
              <w:t>Total de Efectivo y Equivalentes</w:t>
            </w:r>
          </w:p>
        </w:tc>
        <w:tc>
          <w:tcPr>
            <w:tcW w:w="2180" w:type="dxa"/>
            <w:tcBorders>
              <w:top w:val="nil"/>
              <w:left w:val="nil"/>
              <w:bottom w:val="single" w:sz="4" w:space="0" w:color="auto"/>
              <w:right w:val="single" w:sz="4" w:space="0" w:color="auto"/>
            </w:tcBorders>
            <w:shd w:val="clear" w:color="000000" w:fill="FFFFFF"/>
          </w:tcPr>
          <w:p w:rsidR="00A02011" w:rsidRPr="00A02011" w:rsidRDefault="00A02011" w:rsidP="00A02011">
            <w:pPr>
              <w:jc w:val="right"/>
              <w:rPr>
                <w:rFonts w:ascii="Arial" w:hAnsi="Arial" w:cs="Arial"/>
                <w:b/>
                <w:sz w:val="17"/>
                <w:szCs w:val="17"/>
              </w:rPr>
            </w:pPr>
            <w:r w:rsidRPr="00A02011">
              <w:rPr>
                <w:rFonts w:ascii="Arial" w:hAnsi="Arial" w:cs="Arial"/>
                <w:b/>
                <w:sz w:val="17"/>
                <w:szCs w:val="17"/>
              </w:rPr>
              <w:t>4,809,313,201</w:t>
            </w:r>
          </w:p>
        </w:tc>
        <w:tc>
          <w:tcPr>
            <w:tcW w:w="2180" w:type="dxa"/>
            <w:tcBorders>
              <w:top w:val="nil"/>
              <w:left w:val="nil"/>
              <w:bottom w:val="single" w:sz="4" w:space="0" w:color="auto"/>
              <w:right w:val="single" w:sz="4" w:space="0" w:color="auto"/>
            </w:tcBorders>
            <w:shd w:val="clear" w:color="000000" w:fill="FFFFFF"/>
          </w:tcPr>
          <w:p w:rsidR="00A02011" w:rsidRPr="00A02011" w:rsidRDefault="00A02011" w:rsidP="00A02011">
            <w:pPr>
              <w:jc w:val="right"/>
              <w:rPr>
                <w:rFonts w:ascii="Arial" w:hAnsi="Arial" w:cs="Arial"/>
                <w:b/>
                <w:sz w:val="17"/>
                <w:szCs w:val="17"/>
              </w:rPr>
            </w:pPr>
            <w:r w:rsidRPr="00A02011">
              <w:rPr>
                <w:rFonts w:ascii="Arial" w:hAnsi="Arial" w:cs="Arial"/>
                <w:b/>
                <w:sz w:val="17"/>
                <w:szCs w:val="17"/>
              </w:rPr>
              <w:t>6,243,067,673</w:t>
            </w:r>
          </w:p>
        </w:tc>
      </w:tr>
    </w:tbl>
    <w:p w:rsidR="00E72587" w:rsidRPr="002D70DA" w:rsidRDefault="00E72587" w:rsidP="00F97BAC">
      <w:pPr>
        <w:spacing w:before="80" w:line="250" w:lineRule="exact"/>
        <w:ind w:left="709"/>
        <w:jc w:val="both"/>
        <w:rPr>
          <w:rFonts w:ascii="Arial" w:eastAsia="Calibri" w:hAnsi="Arial" w:cs="Arial"/>
          <w:spacing w:val="-1"/>
          <w:sz w:val="17"/>
          <w:szCs w:val="17"/>
        </w:rPr>
      </w:pPr>
    </w:p>
    <w:p w:rsidR="00E72587" w:rsidRPr="002D70DA" w:rsidRDefault="00DF74BA" w:rsidP="00F97BAC">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Se detallan las adquisiciones de bienes muebles e inmuebles con su monto global </w:t>
      </w:r>
      <w:r w:rsidR="005D109B">
        <w:rPr>
          <w:rFonts w:ascii="Arial" w:eastAsia="Calibri" w:hAnsi="Arial" w:cs="Arial"/>
          <w:spacing w:val="-1"/>
          <w:sz w:val="17"/>
          <w:szCs w:val="17"/>
        </w:rPr>
        <w:t xml:space="preserve">al </w:t>
      </w:r>
      <w:r w:rsidR="001E5A70">
        <w:rPr>
          <w:rFonts w:ascii="Arial" w:eastAsia="Calibri" w:hAnsi="Arial" w:cs="Arial"/>
          <w:spacing w:val="-1"/>
          <w:sz w:val="17"/>
          <w:szCs w:val="17"/>
        </w:rPr>
        <w:t xml:space="preserve">31 de diciembre del </w:t>
      </w:r>
      <w:r w:rsidR="00FD7D84">
        <w:rPr>
          <w:rFonts w:ascii="Arial" w:eastAsia="Calibri" w:hAnsi="Arial" w:cs="Arial"/>
          <w:spacing w:val="-1"/>
          <w:sz w:val="17"/>
          <w:szCs w:val="17"/>
        </w:rPr>
        <w:t>2020</w:t>
      </w:r>
      <w:r w:rsidRPr="002D70DA">
        <w:rPr>
          <w:rFonts w:ascii="Arial" w:eastAsia="Calibri" w:hAnsi="Arial" w:cs="Arial"/>
          <w:spacing w:val="-1"/>
          <w:sz w:val="17"/>
          <w:szCs w:val="17"/>
        </w:rPr>
        <w:t xml:space="preserve"> y, en su caso, el porcentaje de e</w:t>
      </w:r>
      <w:r w:rsidR="00971DBA">
        <w:rPr>
          <w:rFonts w:ascii="Arial" w:eastAsia="Calibri" w:hAnsi="Arial" w:cs="Arial"/>
          <w:spacing w:val="-1"/>
          <w:sz w:val="17"/>
          <w:szCs w:val="17"/>
        </w:rPr>
        <w:t>s</w:t>
      </w:r>
      <w:r w:rsidRPr="002D70DA">
        <w:rPr>
          <w:rFonts w:ascii="Arial" w:eastAsia="Calibri" w:hAnsi="Arial" w:cs="Arial"/>
          <w:spacing w:val="-1"/>
          <w:sz w:val="17"/>
          <w:szCs w:val="17"/>
        </w:rPr>
        <w:t xml:space="preserve">tas adquisiciones que fueron realizadas mediante subsidios de capital del sector central. Adicionalmente, se revela el importe </w:t>
      </w:r>
      <w:r w:rsidR="005D109B">
        <w:rPr>
          <w:rFonts w:ascii="Arial" w:eastAsia="Calibri" w:hAnsi="Arial" w:cs="Arial"/>
          <w:spacing w:val="-1"/>
          <w:sz w:val="17"/>
          <w:szCs w:val="17"/>
        </w:rPr>
        <w:t xml:space="preserve">al </w:t>
      </w:r>
      <w:r w:rsidR="001E5A70">
        <w:rPr>
          <w:rFonts w:ascii="Arial" w:eastAsia="Calibri" w:hAnsi="Arial" w:cs="Arial"/>
          <w:spacing w:val="-1"/>
          <w:sz w:val="17"/>
          <w:szCs w:val="17"/>
        </w:rPr>
        <w:t xml:space="preserve">31 de diciembre del </w:t>
      </w:r>
      <w:r w:rsidR="00FD7D84">
        <w:rPr>
          <w:rFonts w:ascii="Arial" w:eastAsia="Calibri" w:hAnsi="Arial" w:cs="Arial"/>
          <w:spacing w:val="-1"/>
          <w:sz w:val="17"/>
          <w:szCs w:val="17"/>
        </w:rPr>
        <w:t>2020</w:t>
      </w:r>
      <w:r w:rsidRPr="002D70DA">
        <w:rPr>
          <w:rFonts w:ascii="Arial" w:eastAsia="Calibri" w:hAnsi="Arial" w:cs="Arial"/>
          <w:spacing w:val="-1"/>
          <w:sz w:val="17"/>
          <w:szCs w:val="17"/>
        </w:rPr>
        <w:t xml:space="preserve"> de los pagos que durante el ejercicio se hicieron por la compra de los elementos citados:</w:t>
      </w:r>
    </w:p>
    <w:p w:rsidR="00DF74BA" w:rsidRPr="002D70DA" w:rsidRDefault="00DF74BA" w:rsidP="00DF74BA">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11440" w:type="dxa"/>
        <w:jc w:val="center"/>
        <w:tblCellMar>
          <w:left w:w="70" w:type="dxa"/>
          <w:right w:w="70" w:type="dxa"/>
        </w:tblCellMar>
        <w:tblLook w:val="04A0" w:firstRow="1" w:lastRow="0" w:firstColumn="1" w:lastColumn="0" w:noHBand="0" w:noVBand="1"/>
      </w:tblPr>
      <w:tblGrid>
        <w:gridCol w:w="4900"/>
        <w:gridCol w:w="2180"/>
        <w:gridCol w:w="2180"/>
        <w:gridCol w:w="2180"/>
      </w:tblGrid>
      <w:tr w:rsidR="00DF74BA" w:rsidRPr="002D70DA" w:rsidTr="0081697F">
        <w:trPr>
          <w:trHeight w:val="96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F74BA" w:rsidRPr="002D70DA" w:rsidRDefault="0081697F">
            <w:pPr>
              <w:jc w:val="center"/>
              <w:rPr>
                <w:rFonts w:ascii="Arial" w:hAnsi="Arial" w:cs="Arial"/>
                <w:b/>
                <w:bCs/>
                <w:color w:val="000000"/>
                <w:sz w:val="17"/>
                <w:szCs w:val="17"/>
              </w:rPr>
            </w:pPr>
            <w:r w:rsidRPr="002D70DA">
              <w:rPr>
                <w:rFonts w:ascii="Arial" w:hAnsi="Arial" w:cs="Arial"/>
                <w:b/>
                <w:bCs/>
                <w:color w:val="000000"/>
                <w:sz w:val="17"/>
                <w:szCs w:val="17"/>
              </w:rPr>
              <w:t>Adquisiciones por actividades de inversión</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F74BA" w:rsidRPr="002D70DA" w:rsidRDefault="0081697F">
            <w:pPr>
              <w:jc w:val="center"/>
              <w:rPr>
                <w:rFonts w:ascii="Arial" w:hAnsi="Arial" w:cs="Arial"/>
                <w:b/>
                <w:bCs/>
                <w:color w:val="000000"/>
                <w:sz w:val="17"/>
                <w:szCs w:val="17"/>
              </w:rPr>
            </w:pPr>
            <w:r w:rsidRPr="002D70DA">
              <w:rPr>
                <w:rFonts w:ascii="Arial" w:hAnsi="Arial" w:cs="Arial"/>
                <w:b/>
                <w:bCs/>
                <w:color w:val="000000"/>
                <w:sz w:val="17"/>
                <w:szCs w:val="17"/>
              </w:rPr>
              <w:t>Monto global</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F74BA" w:rsidRPr="002D70DA" w:rsidRDefault="0081697F">
            <w:pPr>
              <w:jc w:val="center"/>
              <w:rPr>
                <w:rFonts w:ascii="Arial" w:hAnsi="Arial" w:cs="Arial"/>
                <w:b/>
                <w:bCs/>
                <w:color w:val="000000"/>
                <w:sz w:val="17"/>
                <w:szCs w:val="17"/>
              </w:rPr>
            </w:pPr>
            <w:r w:rsidRPr="002D70DA">
              <w:rPr>
                <w:rFonts w:ascii="Arial" w:hAnsi="Arial" w:cs="Arial"/>
                <w:b/>
                <w:bCs/>
                <w:color w:val="000000"/>
                <w:sz w:val="17"/>
                <w:szCs w:val="17"/>
              </w:rPr>
              <w:t>Porcentaje de adquisición con subsidios de sector central</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F74BA" w:rsidRPr="002D70DA" w:rsidRDefault="0081697F">
            <w:pPr>
              <w:jc w:val="center"/>
              <w:rPr>
                <w:rFonts w:ascii="Arial" w:hAnsi="Arial" w:cs="Arial"/>
                <w:b/>
                <w:bCs/>
                <w:color w:val="000000"/>
                <w:sz w:val="17"/>
                <w:szCs w:val="17"/>
              </w:rPr>
            </w:pPr>
            <w:r w:rsidRPr="002D70DA">
              <w:rPr>
                <w:rFonts w:ascii="Arial" w:hAnsi="Arial" w:cs="Arial"/>
                <w:b/>
                <w:bCs/>
                <w:color w:val="000000"/>
                <w:sz w:val="17"/>
                <w:szCs w:val="17"/>
              </w:rPr>
              <w:t>Importe de pagos por la compra</w:t>
            </w:r>
          </w:p>
        </w:tc>
      </w:tr>
      <w:tr w:rsidR="00DF74BA" w:rsidRPr="002D70DA" w:rsidTr="002B0CD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4BA" w:rsidRPr="002D70DA" w:rsidRDefault="00DF74BA">
            <w:pPr>
              <w:rPr>
                <w:rFonts w:ascii="Arial" w:hAnsi="Arial" w:cs="Arial"/>
                <w:color w:val="000000"/>
                <w:sz w:val="17"/>
                <w:szCs w:val="17"/>
              </w:rPr>
            </w:pPr>
            <w:r w:rsidRPr="002D70DA">
              <w:rPr>
                <w:rFonts w:ascii="Arial" w:hAnsi="Arial" w:cs="Arial"/>
                <w:color w:val="000000"/>
                <w:sz w:val="17"/>
                <w:szCs w:val="17"/>
              </w:rPr>
              <w:t>Bienes Muebles</w:t>
            </w:r>
          </w:p>
        </w:tc>
        <w:tc>
          <w:tcPr>
            <w:tcW w:w="2180" w:type="dxa"/>
            <w:tcBorders>
              <w:top w:val="single" w:sz="4" w:space="0" w:color="auto"/>
              <w:left w:val="nil"/>
              <w:bottom w:val="single" w:sz="4" w:space="0" w:color="auto"/>
              <w:right w:val="single" w:sz="4" w:space="0" w:color="auto"/>
            </w:tcBorders>
            <w:shd w:val="clear" w:color="auto" w:fill="auto"/>
            <w:vAlign w:val="center"/>
          </w:tcPr>
          <w:p w:rsidR="00DF74BA" w:rsidRPr="002D70DA" w:rsidRDefault="00330FC0">
            <w:pPr>
              <w:jc w:val="right"/>
              <w:rPr>
                <w:rFonts w:ascii="Arial" w:hAnsi="Arial" w:cs="Arial"/>
                <w:b/>
                <w:bCs/>
                <w:color w:val="000000"/>
                <w:sz w:val="17"/>
                <w:szCs w:val="17"/>
              </w:rPr>
            </w:pPr>
            <w:r w:rsidRPr="00330FC0">
              <w:rPr>
                <w:rFonts w:ascii="Arial" w:hAnsi="Arial" w:cs="Arial"/>
                <w:b/>
                <w:bCs/>
                <w:color w:val="000000"/>
                <w:sz w:val="17"/>
                <w:szCs w:val="17"/>
              </w:rPr>
              <w:t>243,185,845</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DF74BA" w:rsidRPr="002D70DA" w:rsidRDefault="00971DBA">
            <w:pPr>
              <w:jc w:val="center"/>
              <w:rPr>
                <w:rFonts w:ascii="Arial" w:hAnsi="Arial" w:cs="Arial"/>
                <w:b/>
                <w:bCs/>
                <w:color w:val="000000"/>
                <w:sz w:val="17"/>
                <w:szCs w:val="17"/>
              </w:rPr>
            </w:pPr>
            <w:r>
              <w:rPr>
                <w:rFonts w:ascii="Arial" w:hAnsi="Arial" w:cs="Arial"/>
                <w:b/>
                <w:bCs/>
                <w:color w:val="000000"/>
                <w:sz w:val="17"/>
                <w:szCs w:val="17"/>
              </w:rPr>
              <w:t>100 por ciento</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DF74BA" w:rsidRPr="002D70DA" w:rsidRDefault="00330FC0">
            <w:pPr>
              <w:jc w:val="right"/>
              <w:rPr>
                <w:rFonts w:ascii="Arial" w:hAnsi="Arial" w:cs="Arial"/>
                <w:b/>
                <w:bCs/>
                <w:color w:val="000000"/>
                <w:sz w:val="17"/>
                <w:szCs w:val="17"/>
              </w:rPr>
            </w:pPr>
            <w:r w:rsidRPr="00330FC0">
              <w:rPr>
                <w:rFonts w:ascii="Arial" w:hAnsi="Arial" w:cs="Arial"/>
                <w:b/>
                <w:bCs/>
                <w:color w:val="000000"/>
                <w:sz w:val="17"/>
                <w:szCs w:val="17"/>
              </w:rPr>
              <w:t>243,185,845</w:t>
            </w:r>
          </w:p>
        </w:tc>
      </w:tr>
    </w:tbl>
    <w:p w:rsidR="00DF74BA" w:rsidRPr="002D70DA" w:rsidRDefault="00DF74BA" w:rsidP="00F97BAC">
      <w:pPr>
        <w:spacing w:before="80" w:line="250" w:lineRule="exact"/>
        <w:ind w:left="709"/>
        <w:jc w:val="both"/>
        <w:rPr>
          <w:rFonts w:ascii="Arial" w:eastAsia="Calibri" w:hAnsi="Arial" w:cs="Arial"/>
          <w:spacing w:val="-1"/>
          <w:sz w:val="17"/>
          <w:szCs w:val="17"/>
        </w:rPr>
      </w:pPr>
    </w:p>
    <w:p w:rsidR="00B811F0" w:rsidRDefault="00B811F0">
      <w:pPr>
        <w:rPr>
          <w:rFonts w:ascii="Arial" w:eastAsia="Calibri" w:hAnsi="Arial" w:cs="Arial"/>
          <w:spacing w:val="-1"/>
          <w:sz w:val="17"/>
          <w:szCs w:val="17"/>
        </w:rPr>
      </w:pPr>
      <w:r>
        <w:rPr>
          <w:rFonts w:ascii="Arial" w:eastAsia="Calibri" w:hAnsi="Arial" w:cs="Arial"/>
          <w:spacing w:val="-1"/>
          <w:sz w:val="17"/>
          <w:szCs w:val="17"/>
        </w:rPr>
        <w:br w:type="page"/>
      </w:r>
    </w:p>
    <w:p w:rsidR="0092346E" w:rsidRPr="002D70DA" w:rsidRDefault="0092346E" w:rsidP="00CB1DF1">
      <w:pPr>
        <w:numPr>
          <w:ilvl w:val="0"/>
          <w:numId w:val="23"/>
        </w:numPr>
        <w:autoSpaceDE w:val="0"/>
        <w:autoSpaceDN w:val="0"/>
        <w:adjustRightInd w:val="0"/>
        <w:spacing w:before="240" w:after="120"/>
        <w:jc w:val="center"/>
        <w:rPr>
          <w:rFonts w:ascii="Arial" w:hAnsi="Arial" w:cs="Arial"/>
          <w:b/>
          <w:sz w:val="17"/>
          <w:szCs w:val="17"/>
        </w:rPr>
      </w:pPr>
      <w:r w:rsidRPr="002D70DA">
        <w:rPr>
          <w:rFonts w:ascii="Arial" w:hAnsi="Arial" w:cs="Arial"/>
          <w:b/>
          <w:sz w:val="17"/>
          <w:szCs w:val="17"/>
        </w:rPr>
        <w:lastRenderedPageBreak/>
        <w:t xml:space="preserve">Notas de </w:t>
      </w:r>
      <w:r>
        <w:rPr>
          <w:rFonts w:ascii="Arial" w:hAnsi="Arial" w:cs="Arial"/>
          <w:b/>
          <w:sz w:val="17"/>
          <w:szCs w:val="17"/>
        </w:rPr>
        <w:t>Memoria</w:t>
      </w:r>
      <w:r w:rsidRPr="002D70DA">
        <w:rPr>
          <w:rFonts w:ascii="Arial" w:hAnsi="Arial" w:cs="Arial"/>
          <w:b/>
          <w:sz w:val="17"/>
          <w:szCs w:val="17"/>
        </w:rPr>
        <w:t>:</w:t>
      </w:r>
    </w:p>
    <w:p w:rsidR="00CB1DF1" w:rsidRPr="00A67440" w:rsidRDefault="00CB1DF1" w:rsidP="00CB1DF1">
      <w:pPr>
        <w:pStyle w:val="Prrafodelista"/>
        <w:numPr>
          <w:ilvl w:val="0"/>
          <w:numId w:val="14"/>
        </w:numPr>
        <w:spacing w:before="120" w:after="120" w:line="240" w:lineRule="exact"/>
        <w:jc w:val="both"/>
        <w:rPr>
          <w:rFonts w:ascii="Arial" w:eastAsia="Calibri" w:hAnsi="Arial" w:cs="Arial"/>
          <w:b/>
          <w:spacing w:val="-1"/>
          <w:sz w:val="17"/>
          <w:szCs w:val="17"/>
        </w:rPr>
      </w:pPr>
      <w:r w:rsidRPr="00A67440">
        <w:rPr>
          <w:rFonts w:ascii="Arial" w:eastAsia="Calibri" w:hAnsi="Arial" w:cs="Arial"/>
          <w:b/>
          <w:spacing w:val="-1"/>
          <w:sz w:val="17"/>
          <w:szCs w:val="17"/>
        </w:rPr>
        <w:t>Introducción</w:t>
      </w:r>
    </w:p>
    <w:p w:rsidR="00CB1DF1" w:rsidRPr="00797197" w:rsidRDefault="00CB1DF1" w:rsidP="00CB1DF1">
      <w:pPr>
        <w:spacing w:before="120" w:after="120" w:line="240" w:lineRule="exact"/>
        <w:jc w:val="both"/>
        <w:rPr>
          <w:rFonts w:ascii="Arial" w:eastAsia="Calibri" w:hAnsi="Arial" w:cs="Arial"/>
          <w:spacing w:val="-1"/>
          <w:sz w:val="17"/>
          <w:szCs w:val="17"/>
        </w:rPr>
      </w:pPr>
      <w:r w:rsidRPr="00797197">
        <w:rPr>
          <w:rFonts w:ascii="Arial" w:eastAsia="Calibri" w:hAnsi="Arial" w:cs="Arial"/>
          <w:spacing w:val="-1"/>
          <w:sz w:val="17"/>
          <w:szCs w:val="17"/>
        </w:rPr>
        <w:t>Los Estados Financieros de los entes públicos, proveen de i</w:t>
      </w:r>
      <w:bookmarkStart w:id="4" w:name="_GoBack"/>
      <w:bookmarkEnd w:id="4"/>
      <w:r w:rsidRPr="00797197">
        <w:rPr>
          <w:rFonts w:ascii="Arial" w:eastAsia="Calibri" w:hAnsi="Arial" w:cs="Arial"/>
          <w:spacing w:val="-1"/>
          <w:sz w:val="17"/>
          <w:szCs w:val="17"/>
        </w:rPr>
        <w:t>nformación financiera a los principales usuarios de la misma, entre ellos está la H. Legislatura del Estado de Querétaro, así como la ciudadanía en general que demanda información sobre la situación contable de</w:t>
      </w:r>
      <w:r>
        <w:rPr>
          <w:rFonts w:ascii="Arial" w:eastAsia="Calibri" w:hAnsi="Arial" w:cs="Arial"/>
          <w:spacing w:val="-1"/>
          <w:sz w:val="17"/>
          <w:szCs w:val="17"/>
        </w:rPr>
        <w:t xml:space="preserve"> </w:t>
      </w:r>
      <w:r w:rsidRPr="00F50AC7">
        <w:rPr>
          <w:rFonts w:ascii="Arial" w:eastAsia="Calibri" w:hAnsi="Arial" w:cs="Arial"/>
          <w:spacing w:val="-1"/>
          <w:sz w:val="17"/>
          <w:szCs w:val="17"/>
        </w:rPr>
        <w:t>l</w:t>
      </w:r>
      <w:r>
        <w:rPr>
          <w:rFonts w:ascii="Arial" w:eastAsia="Calibri" w:hAnsi="Arial" w:cs="Arial"/>
          <w:spacing w:val="-1"/>
          <w:sz w:val="17"/>
          <w:szCs w:val="17"/>
        </w:rPr>
        <w:t>as Órganos Autónomos del Estado de Querétaro</w:t>
      </w:r>
      <w:r w:rsidRPr="00797197">
        <w:rPr>
          <w:rFonts w:ascii="Arial" w:eastAsia="Calibri" w:hAnsi="Arial" w:cs="Arial"/>
          <w:spacing w:val="-1"/>
          <w:sz w:val="17"/>
          <w:szCs w:val="17"/>
        </w:rPr>
        <w:t>.</w:t>
      </w:r>
    </w:p>
    <w:p w:rsidR="00CB1DF1" w:rsidRPr="00797197" w:rsidRDefault="00CB1DF1" w:rsidP="00CB1DF1">
      <w:pPr>
        <w:spacing w:before="120" w:after="120" w:line="240" w:lineRule="exact"/>
        <w:jc w:val="both"/>
        <w:rPr>
          <w:rFonts w:ascii="Arial" w:eastAsia="Calibri" w:hAnsi="Arial" w:cs="Arial"/>
          <w:spacing w:val="-1"/>
          <w:sz w:val="17"/>
          <w:szCs w:val="17"/>
        </w:rPr>
      </w:pPr>
      <w:r w:rsidRPr="00797197">
        <w:rPr>
          <w:rFonts w:ascii="Arial" w:eastAsia="Calibri" w:hAnsi="Arial" w:cs="Arial"/>
          <w:spacing w:val="-1"/>
          <w:sz w:val="17"/>
          <w:szCs w:val="17"/>
        </w:rPr>
        <w:t>El objetivo del presente documento es la revelación del contexto y de los aspectos económicos</w:t>
      </w:r>
      <w:r>
        <w:rPr>
          <w:rFonts w:ascii="Arial" w:eastAsia="Calibri" w:hAnsi="Arial" w:cs="Arial"/>
          <w:spacing w:val="-1"/>
          <w:sz w:val="17"/>
          <w:szCs w:val="17"/>
        </w:rPr>
        <w:t xml:space="preserve"> </w:t>
      </w:r>
      <w:r w:rsidRPr="00797197">
        <w:rPr>
          <w:rFonts w:ascii="Arial" w:eastAsia="Calibri" w:hAnsi="Arial" w:cs="Arial"/>
          <w:spacing w:val="-1"/>
          <w:sz w:val="17"/>
          <w:szCs w:val="17"/>
        </w:rPr>
        <w:t xml:space="preserve">financieros más relevantes que influyeron en las decisiones del período, que comprende del 1 de </w:t>
      </w:r>
      <w:r>
        <w:rPr>
          <w:rFonts w:ascii="Arial" w:eastAsia="Calibri" w:hAnsi="Arial" w:cs="Arial"/>
          <w:spacing w:val="-1"/>
          <w:sz w:val="17"/>
          <w:szCs w:val="17"/>
        </w:rPr>
        <w:t>enero</w:t>
      </w:r>
      <w:r w:rsidRPr="00797197">
        <w:rPr>
          <w:rFonts w:ascii="Arial" w:eastAsia="Calibri" w:hAnsi="Arial" w:cs="Arial"/>
          <w:spacing w:val="-1"/>
          <w:sz w:val="17"/>
          <w:szCs w:val="17"/>
        </w:rPr>
        <w:t xml:space="preserve"> </w:t>
      </w:r>
      <w:r>
        <w:rPr>
          <w:rFonts w:ascii="Arial" w:eastAsia="Calibri" w:hAnsi="Arial" w:cs="Arial"/>
          <w:spacing w:val="-1"/>
          <w:sz w:val="17"/>
          <w:szCs w:val="17"/>
        </w:rPr>
        <w:t>al 31 de Diciembre del 2020</w:t>
      </w:r>
      <w:r w:rsidRPr="00797197">
        <w:rPr>
          <w:rFonts w:ascii="Arial" w:eastAsia="Calibri" w:hAnsi="Arial" w:cs="Arial"/>
          <w:spacing w:val="-1"/>
          <w:sz w:val="17"/>
          <w:szCs w:val="17"/>
        </w:rPr>
        <w:t>, y que se consideraron en la elaboración de los estados financieros para la mayor comprensión de los mismos y sus particularidades.</w:t>
      </w:r>
    </w:p>
    <w:p w:rsidR="00CB1DF1" w:rsidRDefault="00CB1DF1" w:rsidP="00CB1DF1">
      <w:pPr>
        <w:spacing w:before="120" w:after="120" w:line="240" w:lineRule="exact"/>
        <w:jc w:val="both"/>
        <w:rPr>
          <w:rFonts w:ascii="Arial" w:eastAsia="Calibri" w:hAnsi="Arial" w:cs="Arial"/>
          <w:spacing w:val="-1"/>
          <w:sz w:val="17"/>
          <w:szCs w:val="17"/>
        </w:rPr>
      </w:pPr>
      <w:r w:rsidRPr="00797197">
        <w:rPr>
          <w:rFonts w:ascii="Arial" w:eastAsia="Calibri" w:hAnsi="Arial" w:cs="Arial"/>
          <w:spacing w:val="-1"/>
          <w:sz w:val="17"/>
          <w:szCs w:val="17"/>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CB1DF1" w:rsidRPr="00A67440" w:rsidRDefault="00CB1DF1" w:rsidP="00CB1DF1">
      <w:pPr>
        <w:spacing w:before="120" w:after="120" w:line="240" w:lineRule="exact"/>
        <w:jc w:val="both"/>
        <w:rPr>
          <w:rFonts w:ascii="Arial" w:eastAsia="Calibri" w:hAnsi="Arial" w:cs="Arial"/>
          <w:spacing w:val="-1"/>
          <w:sz w:val="17"/>
          <w:szCs w:val="17"/>
        </w:rPr>
      </w:pPr>
    </w:p>
    <w:p w:rsidR="00CB1DF1" w:rsidRPr="00B84F0E" w:rsidRDefault="00CB1DF1" w:rsidP="00CB1DF1">
      <w:pPr>
        <w:pStyle w:val="Prrafodelista"/>
        <w:numPr>
          <w:ilvl w:val="0"/>
          <w:numId w:val="14"/>
        </w:numPr>
        <w:spacing w:before="120" w:after="120" w:line="240" w:lineRule="exact"/>
        <w:jc w:val="both"/>
        <w:rPr>
          <w:rFonts w:ascii="Arial" w:eastAsia="Calibri" w:hAnsi="Arial" w:cs="Arial"/>
          <w:b/>
          <w:spacing w:val="-1"/>
          <w:sz w:val="17"/>
          <w:szCs w:val="17"/>
        </w:rPr>
      </w:pPr>
      <w:r w:rsidRPr="00807759">
        <w:rPr>
          <w:rFonts w:ascii="Arial" w:eastAsia="Calibri" w:hAnsi="Arial" w:cs="Arial"/>
          <w:b/>
          <w:spacing w:val="-1"/>
          <w:sz w:val="17"/>
          <w:szCs w:val="17"/>
        </w:rPr>
        <w:t>Panorama Económico y Financiero</w:t>
      </w:r>
    </w:p>
    <w:p w:rsidR="00CB1DF1" w:rsidRPr="009A23C7" w:rsidRDefault="00CB1DF1" w:rsidP="00CB1DF1">
      <w:pPr>
        <w:spacing w:before="120" w:after="120" w:line="240" w:lineRule="exact"/>
        <w:jc w:val="both"/>
        <w:rPr>
          <w:rFonts w:ascii="Arial" w:eastAsia="Calibri" w:hAnsi="Arial" w:cs="Arial"/>
          <w:spacing w:val="-1"/>
          <w:sz w:val="17"/>
          <w:szCs w:val="17"/>
        </w:rPr>
      </w:pPr>
      <w:r w:rsidRPr="009A23C7">
        <w:rPr>
          <w:rFonts w:ascii="Arial" w:eastAsia="Calibri" w:hAnsi="Arial" w:cs="Arial"/>
          <w:spacing w:val="-1"/>
          <w:sz w:val="17"/>
          <w:szCs w:val="17"/>
        </w:rPr>
        <w:t>Según el último informe trimestral del Banco de México (BA</w:t>
      </w:r>
      <w:r>
        <w:rPr>
          <w:rFonts w:ascii="Arial" w:eastAsia="Calibri" w:hAnsi="Arial" w:cs="Arial"/>
          <w:spacing w:val="-1"/>
          <w:sz w:val="17"/>
          <w:szCs w:val="17"/>
        </w:rPr>
        <w:t>NXICO) correspondiente al tercer trimestre de 2020 (3T-2020) emitido el pasado 25</w:t>
      </w:r>
      <w:r w:rsidRPr="009A23C7">
        <w:rPr>
          <w:rFonts w:ascii="Arial" w:eastAsia="Calibri" w:hAnsi="Arial" w:cs="Arial"/>
          <w:spacing w:val="-1"/>
          <w:sz w:val="17"/>
          <w:szCs w:val="17"/>
        </w:rPr>
        <w:t xml:space="preserve"> de </w:t>
      </w:r>
      <w:r>
        <w:rPr>
          <w:rFonts w:ascii="Arial" w:eastAsia="Calibri" w:hAnsi="Arial" w:cs="Arial"/>
          <w:spacing w:val="-1"/>
          <w:sz w:val="17"/>
          <w:szCs w:val="17"/>
        </w:rPr>
        <w:t>noviembre</w:t>
      </w:r>
      <w:r w:rsidRPr="009A23C7">
        <w:rPr>
          <w:rFonts w:ascii="Arial" w:eastAsia="Calibri" w:hAnsi="Arial" w:cs="Arial"/>
          <w:spacing w:val="-1"/>
          <w:sz w:val="17"/>
          <w:szCs w:val="17"/>
        </w:rPr>
        <w:t xml:space="preserve"> de 2020, señala de manera general que el Entorno Económico y Financiero es el siguiente:</w:t>
      </w:r>
    </w:p>
    <w:p w:rsidR="00CB1DF1" w:rsidRPr="00DA7696" w:rsidRDefault="00CB1DF1" w:rsidP="00CB1DF1">
      <w:pPr>
        <w:pStyle w:val="Prrafodelista"/>
        <w:numPr>
          <w:ilvl w:val="0"/>
          <w:numId w:val="16"/>
        </w:numPr>
        <w:rPr>
          <w:rFonts w:ascii="Arial" w:eastAsia="Calibri" w:hAnsi="Arial" w:cs="Arial"/>
          <w:spacing w:val="-1"/>
          <w:sz w:val="17"/>
          <w:szCs w:val="17"/>
        </w:rPr>
      </w:pPr>
      <w:r w:rsidRPr="00DA7696">
        <w:rPr>
          <w:rFonts w:ascii="Arial" w:eastAsia="Calibri" w:hAnsi="Arial" w:cs="Arial"/>
          <w:spacing w:val="-1"/>
          <w:sz w:val="17"/>
          <w:szCs w:val="17"/>
        </w:rPr>
        <w:t>La pandemia del COVID-19 implicó choques que afectaron a todos los países de manera generalizada, con repercusiones en la actividad económica, la inflación y las condiciones financieras globales.</w:t>
      </w:r>
    </w:p>
    <w:p w:rsidR="00CB1DF1" w:rsidRPr="00DA7696" w:rsidRDefault="00CB1DF1" w:rsidP="00CB1DF1">
      <w:pPr>
        <w:pStyle w:val="Prrafodelista"/>
        <w:numPr>
          <w:ilvl w:val="0"/>
          <w:numId w:val="16"/>
        </w:numPr>
        <w:rPr>
          <w:rFonts w:ascii="Arial" w:eastAsia="Calibri" w:hAnsi="Arial" w:cs="Arial"/>
          <w:spacing w:val="-1"/>
          <w:sz w:val="17"/>
          <w:szCs w:val="17"/>
        </w:rPr>
      </w:pPr>
      <w:r w:rsidRPr="00DA7696">
        <w:rPr>
          <w:rFonts w:ascii="Arial" w:eastAsia="Calibri" w:hAnsi="Arial" w:cs="Arial"/>
          <w:spacing w:val="-1"/>
          <w:sz w:val="17"/>
          <w:szCs w:val="17"/>
        </w:rPr>
        <w:t>Después de una severa contracción en el segundo trimestre, en el tercero comenzó una recuperación, principalmente ante la reapertura de diversas actividades productivas. No obstante,</w:t>
      </w:r>
      <w:r>
        <w:rPr>
          <w:rFonts w:ascii="Arial" w:eastAsia="Calibri" w:hAnsi="Arial" w:cs="Arial"/>
          <w:spacing w:val="-1"/>
          <w:sz w:val="17"/>
          <w:szCs w:val="17"/>
        </w:rPr>
        <w:t xml:space="preserve"> se menciona que persistirá</w:t>
      </w:r>
      <w:r w:rsidRPr="00DA7696">
        <w:rPr>
          <w:rFonts w:ascii="Arial" w:eastAsia="Calibri" w:hAnsi="Arial" w:cs="Arial"/>
          <w:spacing w:val="-1"/>
          <w:sz w:val="17"/>
          <w:szCs w:val="17"/>
        </w:rPr>
        <w:t xml:space="preserve"> una elevada incertidumbre sobre el ritmo de la recuperación en los próximos trimestres.</w:t>
      </w:r>
    </w:p>
    <w:p w:rsidR="00CB1DF1" w:rsidRPr="00DA7696" w:rsidRDefault="00CB1DF1" w:rsidP="00CB1DF1">
      <w:pPr>
        <w:pStyle w:val="Prrafodelista"/>
        <w:numPr>
          <w:ilvl w:val="0"/>
          <w:numId w:val="16"/>
        </w:numPr>
        <w:rPr>
          <w:rFonts w:ascii="Arial" w:eastAsia="Calibri" w:hAnsi="Arial" w:cs="Arial"/>
          <w:spacing w:val="-1"/>
          <w:sz w:val="17"/>
          <w:szCs w:val="17"/>
        </w:rPr>
      </w:pPr>
      <w:r w:rsidRPr="00DA7696">
        <w:rPr>
          <w:rFonts w:ascii="Arial" w:eastAsia="Calibri" w:hAnsi="Arial" w:cs="Arial"/>
          <w:spacing w:val="-1"/>
          <w:sz w:val="17"/>
          <w:szCs w:val="17"/>
        </w:rPr>
        <w:t>Este contexto presenta retos significativos para la recuperación de la economía mexicana, el mercado laboral y para el sistema financiero.</w:t>
      </w:r>
    </w:p>
    <w:p w:rsidR="00CB1DF1" w:rsidRDefault="00CB1DF1" w:rsidP="00CB1DF1">
      <w:pPr>
        <w:pStyle w:val="Prrafodelista"/>
        <w:numPr>
          <w:ilvl w:val="0"/>
          <w:numId w:val="16"/>
        </w:numPr>
        <w:rPr>
          <w:rFonts w:ascii="Arial" w:eastAsia="Calibri" w:hAnsi="Arial" w:cs="Arial"/>
          <w:spacing w:val="-1"/>
          <w:sz w:val="17"/>
          <w:szCs w:val="17"/>
        </w:rPr>
      </w:pPr>
      <w:r w:rsidRPr="00DA7696">
        <w:rPr>
          <w:rFonts w:ascii="Arial" w:eastAsia="Calibri" w:hAnsi="Arial" w:cs="Arial"/>
          <w:spacing w:val="-1"/>
          <w:sz w:val="17"/>
          <w:szCs w:val="17"/>
        </w:rPr>
        <w:t>El Banco de México ha buscado conducir la política monetaria para propiciar un ajuste ordenado de los mercados nacionales y la economía en su conjunto, y así mantener el poder adquisitivo de la moneda nacional.</w:t>
      </w:r>
    </w:p>
    <w:p w:rsidR="00CB1DF1" w:rsidRDefault="00CB1DF1" w:rsidP="00CB1DF1">
      <w:pPr>
        <w:spacing w:before="120" w:after="120" w:line="240" w:lineRule="exact"/>
        <w:jc w:val="both"/>
        <w:rPr>
          <w:rFonts w:ascii="Arial" w:eastAsia="Calibri" w:hAnsi="Arial" w:cs="Arial"/>
          <w:spacing w:val="-1"/>
          <w:sz w:val="17"/>
          <w:szCs w:val="17"/>
        </w:rPr>
      </w:pPr>
      <w:r w:rsidRPr="009A23C7">
        <w:rPr>
          <w:rFonts w:ascii="Arial" w:eastAsia="Calibri" w:hAnsi="Arial" w:cs="Arial"/>
          <w:spacing w:val="-1"/>
          <w:sz w:val="17"/>
          <w:szCs w:val="17"/>
        </w:rPr>
        <w:t xml:space="preserve">En el tema de las condiciones externas </w:t>
      </w:r>
      <w:r>
        <w:rPr>
          <w:rFonts w:ascii="Arial" w:eastAsia="Calibri" w:hAnsi="Arial" w:cs="Arial"/>
          <w:spacing w:val="-1"/>
          <w:sz w:val="17"/>
          <w:szCs w:val="17"/>
        </w:rPr>
        <w:t>se informa por parte de BANXICO que l</w:t>
      </w:r>
      <w:r w:rsidRPr="00922E34">
        <w:rPr>
          <w:rFonts w:ascii="Arial" w:eastAsia="Calibri" w:hAnsi="Arial" w:cs="Arial"/>
          <w:spacing w:val="-1"/>
          <w:sz w:val="17"/>
          <w:szCs w:val="17"/>
        </w:rPr>
        <w:t>a actividad económica mundial se ha</w:t>
      </w:r>
      <w:r>
        <w:rPr>
          <w:rFonts w:ascii="Arial" w:eastAsia="Calibri" w:hAnsi="Arial" w:cs="Arial"/>
          <w:spacing w:val="-1"/>
          <w:sz w:val="17"/>
          <w:szCs w:val="17"/>
        </w:rPr>
        <w:t xml:space="preserve"> ido</w:t>
      </w:r>
      <w:r w:rsidRPr="00922E34">
        <w:rPr>
          <w:rFonts w:ascii="Arial" w:eastAsia="Calibri" w:hAnsi="Arial" w:cs="Arial"/>
          <w:spacing w:val="-1"/>
          <w:sz w:val="17"/>
          <w:szCs w:val="17"/>
        </w:rPr>
        <w:t xml:space="preserve"> recupera</w:t>
      </w:r>
      <w:r>
        <w:rPr>
          <w:rFonts w:ascii="Arial" w:eastAsia="Calibri" w:hAnsi="Arial" w:cs="Arial"/>
          <w:spacing w:val="-1"/>
          <w:sz w:val="17"/>
          <w:szCs w:val="17"/>
        </w:rPr>
        <w:t>n</w:t>
      </w:r>
      <w:r w:rsidRPr="00922E34">
        <w:rPr>
          <w:rFonts w:ascii="Arial" w:eastAsia="Calibri" w:hAnsi="Arial" w:cs="Arial"/>
          <w:spacing w:val="-1"/>
          <w:sz w:val="17"/>
          <w:szCs w:val="17"/>
        </w:rPr>
        <w:t xml:space="preserve">do, de manera heterogénea entre países y su ritmo se ha </w:t>
      </w:r>
      <w:r>
        <w:rPr>
          <w:rFonts w:ascii="Arial" w:eastAsia="Calibri" w:hAnsi="Arial" w:cs="Arial"/>
          <w:spacing w:val="-1"/>
          <w:sz w:val="17"/>
          <w:szCs w:val="17"/>
        </w:rPr>
        <w:t xml:space="preserve">ido </w:t>
      </w:r>
      <w:r w:rsidRPr="00922E34">
        <w:rPr>
          <w:rFonts w:ascii="Arial" w:eastAsia="Calibri" w:hAnsi="Arial" w:cs="Arial"/>
          <w:spacing w:val="-1"/>
          <w:sz w:val="17"/>
          <w:szCs w:val="17"/>
        </w:rPr>
        <w:t>moderado desde julio. No obstante, aún no se alcanzan los niveles previos a la pandemia y persisten riesgos.</w:t>
      </w:r>
      <w:r>
        <w:rPr>
          <w:rFonts w:ascii="Arial" w:eastAsia="Calibri" w:hAnsi="Arial" w:cs="Arial"/>
          <w:spacing w:val="-1"/>
          <w:sz w:val="17"/>
          <w:szCs w:val="17"/>
        </w:rPr>
        <w:t xml:space="preserve"> </w:t>
      </w:r>
      <w:r w:rsidRPr="00877BA6">
        <w:rPr>
          <w:rFonts w:ascii="Arial" w:eastAsia="Calibri" w:hAnsi="Arial" w:cs="Arial"/>
          <w:spacing w:val="-1"/>
          <w:sz w:val="17"/>
          <w:szCs w:val="17"/>
        </w:rPr>
        <w:t>A pesar de la recuperación se sigue anticipando una fuerte contracción del PIB para 2020 y una</w:t>
      </w:r>
      <w:r>
        <w:rPr>
          <w:rFonts w:ascii="Arial" w:eastAsia="Calibri" w:hAnsi="Arial" w:cs="Arial"/>
          <w:spacing w:val="-1"/>
          <w:sz w:val="17"/>
          <w:szCs w:val="17"/>
        </w:rPr>
        <w:t xml:space="preserve"> </w:t>
      </w:r>
      <w:r w:rsidRPr="00877BA6">
        <w:rPr>
          <w:rFonts w:ascii="Arial" w:eastAsia="Calibri" w:hAnsi="Arial" w:cs="Arial"/>
          <w:spacing w:val="-1"/>
          <w:sz w:val="17"/>
          <w:szCs w:val="17"/>
        </w:rPr>
        <w:t>recuperación gradual en 2021. Dichas previsiones están sujetas a un alto grado de incertidumbre.</w:t>
      </w:r>
      <w:r>
        <w:rPr>
          <w:rFonts w:ascii="Arial" w:eastAsia="Calibri" w:hAnsi="Arial" w:cs="Arial"/>
          <w:spacing w:val="-1"/>
          <w:sz w:val="17"/>
          <w:szCs w:val="17"/>
        </w:rPr>
        <w:t xml:space="preserve"> </w:t>
      </w:r>
      <w:r w:rsidRPr="00877BA6">
        <w:rPr>
          <w:rFonts w:ascii="Arial" w:eastAsia="Calibri" w:hAnsi="Arial" w:cs="Arial"/>
          <w:spacing w:val="-1"/>
          <w:sz w:val="17"/>
          <w:szCs w:val="17"/>
        </w:rPr>
        <w:t>En las economías avanzadas, las inflaciones general y subyacente permanecieron en niveles bajos e inferiores a los objetivos de sus respectivos bancos centrales, si bien repuntaron los precios de la energía y algunas mercancías.</w:t>
      </w:r>
      <w:r>
        <w:rPr>
          <w:rFonts w:ascii="Arial" w:eastAsia="Calibri" w:hAnsi="Arial" w:cs="Arial"/>
          <w:spacing w:val="-1"/>
          <w:sz w:val="17"/>
          <w:szCs w:val="17"/>
        </w:rPr>
        <w:t xml:space="preserve"> </w:t>
      </w:r>
      <w:r w:rsidRPr="00C22216">
        <w:rPr>
          <w:rFonts w:ascii="Arial" w:eastAsia="Calibri" w:hAnsi="Arial" w:cs="Arial"/>
          <w:spacing w:val="-1"/>
          <w:sz w:val="17"/>
          <w:szCs w:val="17"/>
        </w:rPr>
        <w:t>Los principales bancos centrales de economías avanzadas han anunciado que mantendrán tasas de interés en niveles históricamente bajos y que utilizarán sus balances para propiciar un aumento sostenido de la demanda y la inflación.</w:t>
      </w:r>
      <w:r>
        <w:rPr>
          <w:rFonts w:ascii="Arial" w:eastAsia="Calibri" w:hAnsi="Arial" w:cs="Arial"/>
          <w:spacing w:val="-1"/>
          <w:sz w:val="17"/>
          <w:szCs w:val="17"/>
        </w:rPr>
        <w:t xml:space="preserve"> </w:t>
      </w:r>
      <w:r w:rsidRPr="00C22216">
        <w:rPr>
          <w:rFonts w:ascii="Arial" w:eastAsia="Calibri" w:hAnsi="Arial" w:cs="Arial"/>
          <w:spacing w:val="-1"/>
          <w:sz w:val="17"/>
          <w:szCs w:val="17"/>
        </w:rPr>
        <w:t>Después de los niveles mínimos observados en marzo y abril, los precios internacionales de materias</w:t>
      </w:r>
      <w:r>
        <w:rPr>
          <w:rFonts w:ascii="Arial" w:eastAsia="Calibri" w:hAnsi="Arial" w:cs="Arial"/>
          <w:spacing w:val="-1"/>
          <w:sz w:val="17"/>
          <w:szCs w:val="17"/>
        </w:rPr>
        <w:t xml:space="preserve"> </w:t>
      </w:r>
      <w:r w:rsidRPr="00C22216">
        <w:rPr>
          <w:rFonts w:ascii="Arial" w:eastAsia="Calibri" w:hAnsi="Arial" w:cs="Arial"/>
          <w:spacing w:val="-1"/>
          <w:sz w:val="17"/>
          <w:szCs w:val="17"/>
        </w:rPr>
        <w:t>primas han aumentado.</w:t>
      </w:r>
      <w:r>
        <w:rPr>
          <w:rFonts w:ascii="Arial" w:eastAsia="Calibri" w:hAnsi="Arial" w:cs="Arial"/>
          <w:spacing w:val="-1"/>
          <w:sz w:val="17"/>
          <w:szCs w:val="17"/>
        </w:rPr>
        <w:t xml:space="preserve"> </w:t>
      </w:r>
      <w:r w:rsidRPr="003140C0">
        <w:rPr>
          <w:rFonts w:ascii="Arial" w:eastAsia="Calibri" w:hAnsi="Arial" w:cs="Arial"/>
          <w:spacing w:val="-1"/>
          <w:sz w:val="17"/>
          <w:szCs w:val="17"/>
        </w:rPr>
        <w:t>En los últimos meses los mercados financieros internacionales mostraron un comportamiento positivo, impulsado por la gradual recuperación de la actividad económica mundial y los estímulos monetarios, fiscales y financieros implementados en las economías sistémicamente importantes.</w:t>
      </w:r>
      <w:r>
        <w:rPr>
          <w:rFonts w:ascii="Arial" w:eastAsia="Calibri" w:hAnsi="Arial" w:cs="Arial"/>
          <w:spacing w:val="-1"/>
          <w:sz w:val="17"/>
          <w:szCs w:val="17"/>
        </w:rPr>
        <w:t xml:space="preserve"> </w:t>
      </w:r>
      <w:r w:rsidRPr="00E3504C">
        <w:rPr>
          <w:rFonts w:ascii="Arial" w:eastAsia="Calibri" w:hAnsi="Arial" w:cs="Arial"/>
          <w:spacing w:val="-1"/>
          <w:sz w:val="17"/>
          <w:szCs w:val="17"/>
        </w:rPr>
        <w:t>En los últimos meses las economías emergentes registraron entradas netas de capital, principalmente</w:t>
      </w:r>
      <w:r>
        <w:rPr>
          <w:rFonts w:ascii="Arial" w:eastAsia="Calibri" w:hAnsi="Arial" w:cs="Arial"/>
          <w:spacing w:val="-1"/>
          <w:sz w:val="17"/>
          <w:szCs w:val="17"/>
        </w:rPr>
        <w:t xml:space="preserve"> </w:t>
      </w:r>
      <w:r w:rsidRPr="00E3504C">
        <w:rPr>
          <w:rFonts w:ascii="Arial" w:eastAsia="Calibri" w:hAnsi="Arial" w:cs="Arial"/>
          <w:spacing w:val="-1"/>
          <w:sz w:val="17"/>
          <w:szCs w:val="17"/>
        </w:rPr>
        <w:t>en activos de renta fija. El ajuste de los mercados cambiarios en diferentes economías emergentes ha sido heterogéneo y con episodios de volatilidad.</w:t>
      </w:r>
      <w:r>
        <w:rPr>
          <w:rFonts w:ascii="Arial" w:eastAsia="Calibri" w:hAnsi="Arial" w:cs="Arial"/>
          <w:spacing w:val="-1"/>
          <w:sz w:val="17"/>
          <w:szCs w:val="17"/>
        </w:rPr>
        <w:t xml:space="preserve"> </w:t>
      </w:r>
    </w:p>
    <w:p w:rsidR="00CB1DF1" w:rsidRDefault="00CB1DF1" w:rsidP="00CB1DF1">
      <w:pPr>
        <w:spacing w:before="120" w:after="120" w:line="240" w:lineRule="exact"/>
        <w:jc w:val="both"/>
        <w:rPr>
          <w:rFonts w:ascii="Arial" w:eastAsia="Calibri" w:hAnsi="Arial" w:cs="Arial"/>
          <w:spacing w:val="-1"/>
          <w:sz w:val="17"/>
          <w:szCs w:val="17"/>
        </w:rPr>
      </w:pPr>
    </w:p>
    <w:p w:rsidR="00CB1DF1" w:rsidRDefault="00CB1DF1" w:rsidP="00CB1DF1">
      <w:pPr>
        <w:spacing w:before="120" w:after="120" w:line="240" w:lineRule="exact"/>
        <w:jc w:val="both"/>
        <w:rPr>
          <w:rFonts w:ascii="Arial" w:eastAsia="Calibri" w:hAnsi="Arial" w:cs="Arial"/>
          <w:spacing w:val="-1"/>
          <w:sz w:val="17"/>
          <w:szCs w:val="17"/>
        </w:rPr>
      </w:pPr>
      <w:r w:rsidRPr="009A23C7">
        <w:rPr>
          <w:rFonts w:ascii="Arial" w:eastAsia="Calibri" w:hAnsi="Arial" w:cs="Arial"/>
          <w:spacing w:val="-1"/>
          <w:sz w:val="17"/>
          <w:szCs w:val="17"/>
        </w:rPr>
        <w:t xml:space="preserve">Con respecto a la evolución de la Economía Mexicana, BANXICO informó que </w:t>
      </w:r>
      <w:r>
        <w:rPr>
          <w:rFonts w:ascii="Arial" w:eastAsia="Calibri" w:hAnsi="Arial" w:cs="Arial"/>
          <w:spacing w:val="-1"/>
          <w:sz w:val="17"/>
          <w:szCs w:val="17"/>
        </w:rPr>
        <w:t>en el 3</w:t>
      </w:r>
      <w:r w:rsidRPr="005E4472">
        <w:rPr>
          <w:rFonts w:ascii="Arial" w:eastAsia="Calibri" w:hAnsi="Arial" w:cs="Arial"/>
          <w:spacing w:val="-1"/>
          <w:sz w:val="17"/>
          <w:szCs w:val="17"/>
        </w:rPr>
        <w:t xml:space="preserve">T-2020 </w:t>
      </w:r>
      <w:r>
        <w:rPr>
          <w:rFonts w:ascii="Arial" w:eastAsia="Calibri" w:hAnsi="Arial" w:cs="Arial"/>
          <w:spacing w:val="-1"/>
          <w:sz w:val="17"/>
          <w:szCs w:val="17"/>
        </w:rPr>
        <w:t>d</w:t>
      </w:r>
      <w:r w:rsidRPr="00E3504C">
        <w:rPr>
          <w:rFonts w:ascii="Arial" w:eastAsia="Calibri" w:hAnsi="Arial" w:cs="Arial"/>
          <w:spacing w:val="-1"/>
          <w:sz w:val="17"/>
          <w:szCs w:val="17"/>
        </w:rPr>
        <w:t>espués de una fuerte contracción del PIB en el 2T-2020, la economía mostró una recuperación en el 3T-2020, impulsada por la reapertura de actividades y por el repunte de la demanda externa, si bien permanece por debajo de los niveles previos a la emergencia sanitaria.</w:t>
      </w:r>
      <w:r>
        <w:rPr>
          <w:rFonts w:ascii="Arial" w:eastAsia="Calibri" w:hAnsi="Arial" w:cs="Arial"/>
          <w:spacing w:val="-1"/>
          <w:sz w:val="17"/>
          <w:szCs w:val="17"/>
        </w:rPr>
        <w:t xml:space="preserve"> </w:t>
      </w:r>
      <w:r w:rsidRPr="00E3504C">
        <w:rPr>
          <w:rFonts w:ascii="Arial" w:eastAsia="Calibri" w:hAnsi="Arial" w:cs="Arial"/>
          <w:spacing w:val="-1"/>
          <w:sz w:val="17"/>
          <w:szCs w:val="17"/>
        </w:rPr>
        <w:t>La contracción económica en abril y mayo fue súbita, profunda y sincronizada entre los distintos sectores de actividad. La reapertura de actividades y el impulso de la demanda externa han propiciado desde junio una recuperación parcial y heterogénea.</w:t>
      </w:r>
      <w:r>
        <w:rPr>
          <w:rFonts w:ascii="Arial" w:eastAsia="Calibri" w:hAnsi="Arial" w:cs="Arial"/>
          <w:spacing w:val="-1"/>
          <w:sz w:val="17"/>
          <w:szCs w:val="17"/>
        </w:rPr>
        <w:t xml:space="preserve"> </w:t>
      </w:r>
      <w:r w:rsidRPr="00C9290B">
        <w:rPr>
          <w:rFonts w:ascii="Arial" w:eastAsia="Calibri" w:hAnsi="Arial" w:cs="Arial"/>
          <w:spacing w:val="-1"/>
          <w:sz w:val="17"/>
          <w:szCs w:val="17"/>
        </w:rPr>
        <w:t>En el 3T-2020 la actividad industrial mostró cierta mejoría. En julio y agosto los servicios crecieron a un ritmo moderado y heterogéneo entre subsectores. En ambos casos los niveles de actividad se ubican por debajo de los niveles anteriores a la pandemia.</w:t>
      </w:r>
      <w:r>
        <w:rPr>
          <w:rFonts w:ascii="Arial" w:eastAsia="Calibri" w:hAnsi="Arial" w:cs="Arial"/>
          <w:spacing w:val="-1"/>
          <w:sz w:val="17"/>
          <w:szCs w:val="17"/>
        </w:rPr>
        <w:t xml:space="preserve"> </w:t>
      </w:r>
      <w:r w:rsidRPr="00050829">
        <w:rPr>
          <w:rFonts w:ascii="Arial" w:eastAsia="Calibri" w:hAnsi="Arial" w:cs="Arial"/>
          <w:spacing w:val="-1"/>
          <w:sz w:val="17"/>
          <w:szCs w:val="17"/>
        </w:rPr>
        <w:t xml:space="preserve">El consumo </w:t>
      </w:r>
      <w:r w:rsidRPr="00050829">
        <w:rPr>
          <w:rFonts w:ascii="Arial" w:eastAsia="Calibri" w:hAnsi="Arial" w:cs="Arial"/>
          <w:spacing w:val="-1"/>
          <w:sz w:val="17"/>
          <w:szCs w:val="17"/>
        </w:rPr>
        <w:lastRenderedPageBreak/>
        <w:t>privado ha mostrado una mejora a partir de junio, la cual se ha moderado en los últimos</w:t>
      </w:r>
      <w:r>
        <w:rPr>
          <w:rFonts w:ascii="Arial" w:eastAsia="Calibri" w:hAnsi="Arial" w:cs="Arial"/>
          <w:spacing w:val="-1"/>
          <w:sz w:val="17"/>
          <w:szCs w:val="17"/>
        </w:rPr>
        <w:t xml:space="preserve"> </w:t>
      </w:r>
      <w:r w:rsidRPr="00050829">
        <w:rPr>
          <w:rFonts w:ascii="Arial" w:eastAsia="Calibri" w:hAnsi="Arial" w:cs="Arial"/>
          <w:spacing w:val="-1"/>
          <w:sz w:val="17"/>
          <w:szCs w:val="17"/>
        </w:rPr>
        <w:t>meses.</w:t>
      </w:r>
      <w:r>
        <w:rPr>
          <w:rFonts w:ascii="Arial" w:eastAsia="Calibri" w:hAnsi="Arial" w:cs="Arial"/>
          <w:spacing w:val="-1"/>
          <w:sz w:val="17"/>
          <w:szCs w:val="17"/>
        </w:rPr>
        <w:t xml:space="preserve"> </w:t>
      </w:r>
      <w:r w:rsidRPr="00733967">
        <w:rPr>
          <w:rFonts w:ascii="Arial" w:eastAsia="Calibri" w:hAnsi="Arial" w:cs="Arial"/>
          <w:spacing w:val="-1"/>
          <w:sz w:val="17"/>
          <w:szCs w:val="17"/>
        </w:rPr>
        <w:t>La inversión fija bruta presentó cierta reactivación de junio a agosto. Los rubros de maquinaria y equipo y de construcción continuaron recuperándose, si bien permanecen significativamente por debajo de su nivel previo a la pandemia y enfrenta retos de corto y mediano plazo.</w:t>
      </w:r>
      <w:r>
        <w:rPr>
          <w:rFonts w:ascii="Arial" w:eastAsia="Calibri" w:hAnsi="Arial" w:cs="Arial"/>
          <w:spacing w:val="-1"/>
          <w:sz w:val="17"/>
          <w:szCs w:val="17"/>
        </w:rPr>
        <w:t xml:space="preserve"> </w:t>
      </w:r>
      <w:r w:rsidRPr="00BC728D">
        <w:rPr>
          <w:rFonts w:ascii="Arial" w:eastAsia="Calibri" w:hAnsi="Arial" w:cs="Arial"/>
          <w:spacing w:val="-1"/>
          <w:sz w:val="17"/>
          <w:szCs w:val="17"/>
        </w:rPr>
        <w:t>En la etapa inicial de las afectaciones por la pandemia el comercio exterior de bienes se contrajo significativamente, a partir de junio la reapertura y la reactivación de la demanda externa propició la recuperación de las exportaciones, especialmente en el sector automotriz.</w:t>
      </w:r>
      <w:r>
        <w:rPr>
          <w:rFonts w:ascii="Arial" w:eastAsia="Calibri" w:hAnsi="Arial" w:cs="Arial"/>
          <w:spacing w:val="-1"/>
          <w:sz w:val="17"/>
          <w:szCs w:val="17"/>
        </w:rPr>
        <w:t xml:space="preserve"> </w:t>
      </w:r>
      <w:r w:rsidRPr="00962A39">
        <w:rPr>
          <w:rFonts w:ascii="Arial" w:eastAsia="Calibri" w:hAnsi="Arial" w:cs="Arial"/>
          <w:spacing w:val="-1"/>
          <w:sz w:val="17"/>
          <w:szCs w:val="17"/>
        </w:rPr>
        <w:t>La mayor recuperación de las exportaciones respecto de las importaciones en el 3T-2020 condujo a que el superávit comercial de mercancías se ubicara en máximos históricos, lo que impulsó a la cuenta corriente en su conjunto a un superávit considerable en el 3T-2020 (17.5mmd).</w:t>
      </w:r>
      <w:r>
        <w:rPr>
          <w:rFonts w:ascii="Arial" w:eastAsia="Calibri" w:hAnsi="Arial" w:cs="Arial"/>
          <w:spacing w:val="-1"/>
          <w:sz w:val="17"/>
          <w:szCs w:val="17"/>
        </w:rPr>
        <w:t xml:space="preserve"> </w:t>
      </w:r>
      <w:r w:rsidRPr="00886C86">
        <w:rPr>
          <w:rFonts w:ascii="Arial" w:eastAsia="Calibri" w:hAnsi="Arial" w:cs="Arial"/>
          <w:spacing w:val="-1"/>
          <w:sz w:val="17"/>
          <w:szCs w:val="17"/>
        </w:rPr>
        <w:t>Entre julio–octubre diversos indicadores del mercado laboral mostraron mejoría, luego del</w:t>
      </w:r>
      <w:r>
        <w:rPr>
          <w:rFonts w:ascii="Arial" w:eastAsia="Calibri" w:hAnsi="Arial" w:cs="Arial"/>
          <w:spacing w:val="-1"/>
          <w:sz w:val="17"/>
          <w:szCs w:val="17"/>
        </w:rPr>
        <w:t xml:space="preserve"> </w:t>
      </w:r>
      <w:r w:rsidRPr="00886C86">
        <w:rPr>
          <w:rFonts w:ascii="Arial" w:eastAsia="Calibri" w:hAnsi="Arial" w:cs="Arial"/>
          <w:spacing w:val="-1"/>
          <w:sz w:val="17"/>
          <w:szCs w:val="17"/>
        </w:rPr>
        <w:t>significativo deterioro ocasionado por la pandemia.</w:t>
      </w:r>
      <w:r>
        <w:rPr>
          <w:rFonts w:ascii="Arial" w:eastAsia="Calibri" w:hAnsi="Arial" w:cs="Arial"/>
          <w:spacing w:val="-1"/>
          <w:sz w:val="17"/>
          <w:szCs w:val="17"/>
        </w:rPr>
        <w:t xml:space="preserve"> </w:t>
      </w:r>
      <w:r w:rsidRPr="007E48FB">
        <w:rPr>
          <w:rFonts w:ascii="Arial" w:eastAsia="Calibri" w:hAnsi="Arial" w:cs="Arial"/>
          <w:spacing w:val="-1"/>
          <w:sz w:val="17"/>
          <w:szCs w:val="17"/>
        </w:rPr>
        <w:t>Después de la importante ampliación de la holgura en el 2T-2020 esta se revirtió parcialmente en el</w:t>
      </w:r>
      <w:r>
        <w:rPr>
          <w:rFonts w:ascii="Arial" w:eastAsia="Calibri" w:hAnsi="Arial" w:cs="Arial"/>
          <w:spacing w:val="-1"/>
          <w:sz w:val="17"/>
          <w:szCs w:val="17"/>
        </w:rPr>
        <w:t xml:space="preserve"> </w:t>
      </w:r>
      <w:r w:rsidRPr="007E48FB">
        <w:rPr>
          <w:rFonts w:ascii="Arial" w:eastAsia="Calibri" w:hAnsi="Arial" w:cs="Arial"/>
          <w:spacing w:val="-1"/>
          <w:sz w:val="17"/>
          <w:szCs w:val="17"/>
        </w:rPr>
        <w:t>3T-2020 y aún se mantiene en niveles históricamente amplios.</w:t>
      </w:r>
    </w:p>
    <w:p w:rsidR="00CB1DF1" w:rsidRDefault="00CB1DF1" w:rsidP="00CB1DF1">
      <w:pPr>
        <w:spacing w:before="120" w:after="120" w:line="240" w:lineRule="exact"/>
        <w:jc w:val="both"/>
        <w:rPr>
          <w:rFonts w:ascii="Arial" w:eastAsia="Calibri" w:hAnsi="Arial" w:cs="Arial"/>
          <w:spacing w:val="-1"/>
          <w:sz w:val="17"/>
          <w:szCs w:val="17"/>
        </w:rPr>
      </w:pPr>
    </w:p>
    <w:p w:rsidR="00CB1DF1" w:rsidRDefault="00CB1DF1" w:rsidP="00CB1DF1">
      <w:pPr>
        <w:spacing w:before="120" w:after="120" w:line="240" w:lineRule="exact"/>
        <w:jc w:val="both"/>
        <w:rPr>
          <w:rFonts w:ascii="Arial" w:eastAsia="Calibri" w:hAnsi="Arial" w:cs="Arial"/>
          <w:spacing w:val="-1"/>
          <w:sz w:val="17"/>
          <w:szCs w:val="17"/>
        </w:rPr>
      </w:pPr>
      <w:r w:rsidRPr="009A23C7">
        <w:rPr>
          <w:rFonts w:ascii="Arial" w:eastAsia="Calibri" w:hAnsi="Arial" w:cs="Arial"/>
          <w:spacing w:val="-1"/>
          <w:sz w:val="17"/>
          <w:szCs w:val="17"/>
        </w:rPr>
        <w:t>BANXICO menciona en su informe que</w:t>
      </w:r>
      <w:r w:rsidRPr="005C4AA9">
        <w:t xml:space="preserve"> </w:t>
      </w:r>
      <w:r>
        <w:rPr>
          <w:rFonts w:ascii="Arial" w:eastAsia="Calibri" w:hAnsi="Arial" w:cs="Arial"/>
          <w:spacing w:val="-1"/>
          <w:sz w:val="17"/>
          <w:szCs w:val="17"/>
        </w:rPr>
        <w:t>e</w:t>
      </w:r>
      <w:r w:rsidRPr="005C4AA9">
        <w:rPr>
          <w:rFonts w:ascii="Arial" w:eastAsia="Calibri" w:hAnsi="Arial" w:cs="Arial"/>
          <w:spacing w:val="-1"/>
          <w:sz w:val="17"/>
          <w:szCs w:val="17"/>
        </w:rPr>
        <w:t xml:space="preserve">l comportamiento de la inflación </w:t>
      </w:r>
      <w:r w:rsidRPr="00FF364A">
        <w:rPr>
          <w:rFonts w:ascii="Arial" w:eastAsia="Calibri" w:hAnsi="Arial" w:cs="Arial"/>
          <w:spacing w:val="-1"/>
          <w:sz w:val="17"/>
          <w:szCs w:val="17"/>
        </w:rPr>
        <w:t>sigue siendo influida por los efectos de la pandemia, después de registrar 2.15% en abril aumentó a 4.09% en octubre y en la 1Q-Noviembre disminuyó a 3.43%, reflejando menores precios de los energéticos, menores presiones en las frutas y verduras y los efectos de las ofertas de “El Bue</w:t>
      </w:r>
      <w:r>
        <w:rPr>
          <w:rFonts w:ascii="Arial" w:eastAsia="Calibri" w:hAnsi="Arial" w:cs="Arial"/>
          <w:spacing w:val="-1"/>
          <w:sz w:val="17"/>
          <w:szCs w:val="17"/>
        </w:rPr>
        <w:t>n Fin</w:t>
      </w:r>
      <w:r w:rsidRPr="00FF364A">
        <w:rPr>
          <w:rFonts w:ascii="Arial" w:eastAsia="Calibri" w:hAnsi="Arial" w:cs="Arial"/>
          <w:spacing w:val="-1"/>
          <w:sz w:val="17"/>
          <w:szCs w:val="17"/>
        </w:rPr>
        <w:t>”</w:t>
      </w:r>
      <w:r>
        <w:rPr>
          <w:rFonts w:ascii="Arial" w:eastAsia="Calibri" w:hAnsi="Arial" w:cs="Arial"/>
          <w:spacing w:val="-1"/>
          <w:sz w:val="17"/>
          <w:szCs w:val="17"/>
        </w:rPr>
        <w:t xml:space="preserve">, para cerrar en el 2020 en un 3.15%. </w:t>
      </w:r>
      <w:r w:rsidRPr="00BF2717">
        <w:rPr>
          <w:rFonts w:ascii="Arial" w:eastAsia="Calibri" w:hAnsi="Arial" w:cs="Arial"/>
          <w:spacing w:val="-1"/>
          <w:sz w:val="17"/>
          <w:szCs w:val="17"/>
        </w:rPr>
        <w:t>La inflación subyacente pasó de 3.5% en abril a 3.98% en octubre, con una recomposición a su interior con presiones al alza en los precios de las mercancías, que superaron las presiones a la baja en los precios de los servicios. En la 1Q-Noviembre las mercancías no alimenticias redujeron significativamente su variación anual.</w:t>
      </w:r>
      <w:r w:rsidRPr="00BF2717">
        <w:t xml:space="preserve"> </w:t>
      </w:r>
      <w:r w:rsidRPr="00BF2717">
        <w:rPr>
          <w:rFonts w:ascii="Arial" w:eastAsia="Calibri" w:hAnsi="Arial" w:cs="Arial"/>
          <w:spacing w:val="-1"/>
          <w:sz w:val="17"/>
          <w:szCs w:val="17"/>
        </w:rPr>
        <w:t>Los componentes de la inflación subyacente han resentido los choques ocasionados por la pandemia. En la 1Q-Noviembre se redujo la inflación subyacente, reflejando la mayor extensión e intensidad de las ofertas de “El Buen Fin”,</w:t>
      </w:r>
      <w:r>
        <w:rPr>
          <w:rFonts w:ascii="Arial" w:eastAsia="Calibri" w:hAnsi="Arial" w:cs="Arial"/>
          <w:spacing w:val="-1"/>
          <w:sz w:val="17"/>
          <w:szCs w:val="17"/>
        </w:rPr>
        <w:t xml:space="preserve"> su persistencia se identificó</w:t>
      </w:r>
      <w:r w:rsidRPr="00BF2717">
        <w:rPr>
          <w:rFonts w:ascii="Arial" w:eastAsia="Calibri" w:hAnsi="Arial" w:cs="Arial"/>
          <w:spacing w:val="-1"/>
          <w:sz w:val="17"/>
          <w:szCs w:val="17"/>
        </w:rPr>
        <w:t xml:space="preserve"> con mayor claridad en los próximos meses</w:t>
      </w:r>
      <w:r>
        <w:rPr>
          <w:rFonts w:ascii="Arial" w:eastAsia="Calibri" w:hAnsi="Arial" w:cs="Arial"/>
          <w:spacing w:val="-1"/>
          <w:sz w:val="17"/>
          <w:szCs w:val="17"/>
        </w:rPr>
        <w:t xml:space="preserve"> para cerrar en el 2020 en un 3.80%. </w:t>
      </w:r>
      <w:r w:rsidRPr="002D2A7B">
        <w:rPr>
          <w:rFonts w:ascii="Arial" w:eastAsia="Calibri" w:hAnsi="Arial" w:cs="Arial"/>
          <w:spacing w:val="-1"/>
          <w:sz w:val="17"/>
          <w:szCs w:val="17"/>
        </w:rPr>
        <w:t>Los precios de los energéticos han influido significativamente a la inflación no subyacente, que pasó</w:t>
      </w:r>
      <w:r>
        <w:rPr>
          <w:rFonts w:ascii="Arial" w:eastAsia="Calibri" w:hAnsi="Arial" w:cs="Arial"/>
          <w:spacing w:val="-1"/>
          <w:sz w:val="17"/>
          <w:szCs w:val="17"/>
        </w:rPr>
        <w:t xml:space="preserve"> </w:t>
      </w:r>
      <w:r w:rsidRPr="002D2A7B">
        <w:rPr>
          <w:rFonts w:ascii="Arial" w:eastAsia="Calibri" w:hAnsi="Arial" w:cs="Arial"/>
          <w:spacing w:val="-1"/>
          <w:sz w:val="17"/>
          <w:szCs w:val="17"/>
        </w:rPr>
        <w:t>de -1.96% en abril a 4.42% en octubre y disminuyó nuevam</w:t>
      </w:r>
      <w:r>
        <w:rPr>
          <w:rFonts w:ascii="Arial" w:eastAsia="Calibri" w:hAnsi="Arial" w:cs="Arial"/>
          <w:spacing w:val="-1"/>
          <w:sz w:val="17"/>
          <w:szCs w:val="17"/>
        </w:rPr>
        <w:t>ente a 2.67% en la 1Q-Noviembre, cerrando el 2020 en un 1.18%</w:t>
      </w:r>
      <w:r w:rsidRPr="00BF2717">
        <w:rPr>
          <w:rFonts w:ascii="Arial" w:eastAsia="Calibri" w:hAnsi="Arial" w:cs="Arial"/>
          <w:spacing w:val="-1"/>
          <w:sz w:val="17"/>
          <w:szCs w:val="17"/>
        </w:rPr>
        <w:t>.</w:t>
      </w:r>
      <w:r>
        <w:rPr>
          <w:rFonts w:ascii="Arial" w:eastAsia="Calibri" w:hAnsi="Arial" w:cs="Arial"/>
          <w:spacing w:val="-1"/>
          <w:sz w:val="17"/>
          <w:szCs w:val="17"/>
        </w:rPr>
        <w:t xml:space="preserve"> </w:t>
      </w:r>
    </w:p>
    <w:p w:rsidR="00CB1DF1" w:rsidRDefault="00CB1DF1" w:rsidP="00CB1DF1">
      <w:pPr>
        <w:spacing w:before="120" w:after="120" w:line="240" w:lineRule="exact"/>
        <w:jc w:val="both"/>
        <w:rPr>
          <w:rFonts w:ascii="Arial" w:eastAsia="Calibri" w:hAnsi="Arial" w:cs="Arial"/>
          <w:spacing w:val="-1"/>
          <w:sz w:val="17"/>
          <w:szCs w:val="17"/>
        </w:rPr>
      </w:pPr>
      <w:r w:rsidRPr="009A23C7">
        <w:rPr>
          <w:rFonts w:ascii="Arial" w:eastAsia="Calibri" w:hAnsi="Arial" w:cs="Arial"/>
          <w:spacing w:val="-1"/>
          <w:sz w:val="17"/>
          <w:szCs w:val="17"/>
        </w:rPr>
        <w:t xml:space="preserve">En la conducción de la Política Monetaria, </w:t>
      </w:r>
      <w:r>
        <w:rPr>
          <w:rFonts w:ascii="Arial" w:eastAsia="Calibri" w:hAnsi="Arial" w:cs="Arial"/>
          <w:spacing w:val="-1"/>
          <w:sz w:val="17"/>
          <w:szCs w:val="17"/>
        </w:rPr>
        <w:t>e</w:t>
      </w:r>
      <w:r w:rsidRPr="004D2A5B">
        <w:rPr>
          <w:rFonts w:ascii="Arial" w:eastAsia="Calibri" w:hAnsi="Arial" w:cs="Arial"/>
          <w:spacing w:val="-1"/>
          <w:sz w:val="17"/>
          <w:szCs w:val="17"/>
        </w:rPr>
        <w:t xml:space="preserve">l Banco de México </w:t>
      </w:r>
      <w:r>
        <w:rPr>
          <w:rFonts w:ascii="Arial" w:eastAsia="Calibri" w:hAnsi="Arial" w:cs="Arial"/>
          <w:spacing w:val="-1"/>
          <w:sz w:val="17"/>
          <w:szCs w:val="17"/>
        </w:rPr>
        <w:t>e</w:t>
      </w:r>
      <w:r w:rsidRPr="00247A46">
        <w:rPr>
          <w:rFonts w:ascii="Arial" w:eastAsia="Calibri" w:hAnsi="Arial" w:cs="Arial"/>
          <w:spacing w:val="-1"/>
          <w:sz w:val="17"/>
          <w:szCs w:val="17"/>
        </w:rPr>
        <w:t xml:space="preserve">n el periodo que cubre este Informe, </w:t>
      </w:r>
      <w:r>
        <w:rPr>
          <w:rFonts w:ascii="Arial" w:eastAsia="Calibri" w:hAnsi="Arial" w:cs="Arial"/>
          <w:spacing w:val="-1"/>
          <w:sz w:val="17"/>
          <w:szCs w:val="17"/>
        </w:rPr>
        <w:t xml:space="preserve">su </w:t>
      </w:r>
      <w:r w:rsidRPr="00247A46">
        <w:rPr>
          <w:rFonts w:ascii="Arial" w:eastAsia="Calibri" w:hAnsi="Arial" w:cs="Arial"/>
          <w:spacing w:val="-1"/>
          <w:sz w:val="17"/>
          <w:szCs w:val="17"/>
        </w:rPr>
        <w:t>Junta redujo la tasa de referencia en 75 puntos base. El 12 de noviembre dicha tasa se mantuvo en 4.25%. Esta pausa brinda el espacio necesario para confirmar una trayectoria convergente de la inflación a la meta.</w:t>
      </w:r>
      <w:r>
        <w:rPr>
          <w:rFonts w:ascii="Arial" w:eastAsia="Calibri" w:hAnsi="Arial" w:cs="Arial"/>
          <w:spacing w:val="-1"/>
          <w:sz w:val="17"/>
          <w:szCs w:val="17"/>
        </w:rPr>
        <w:t xml:space="preserve"> </w:t>
      </w:r>
      <w:r w:rsidRPr="00247A46">
        <w:rPr>
          <w:rFonts w:ascii="Arial" w:eastAsia="Calibri" w:hAnsi="Arial" w:cs="Arial"/>
          <w:spacing w:val="-1"/>
          <w:sz w:val="17"/>
          <w:szCs w:val="17"/>
        </w:rPr>
        <w:t>En relación con las expectativas de inflación destaca que, entre junio y octubre, aquellas de corto plazo registraron aumentos, mientras que las de mediano y largo plazos permanecieron estables.</w:t>
      </w:r>
      <w:r>
        <w:rPr>
          <w:rFonts w:ascii="Arial" w:eastAsia="Calibri" w:hAnsi="Arial" w:cs="Arial"/>
          <w:spacing w:val="-1"/>
          <w:sz w:val="17"/>
          <w:szCs w:val="17"/>
        </w:rPr>
        <w:t xml:space="preserve"> </w:t>
      </w:r>
      <w:r w:rsidRPr="00247A46">
        <w:rPr>
          <w:rFonts w:ascii="Arial" w:eastAsia="Calibri" w:hAnsi="Arial" w:cs="Arial"/>
          <w:spacing w:val="-1"/>
          <w:sz w:val="17"/>
          <w:szCs w:val="17"/>
        </w:rPr>
        <w:t>Durante la mayoría del 3T-2020, y en noviembre, los mercados financieros nacionales presentaron en lo general un comportamiento positivo asociado a la mejoría en las condiciones financieras internacionales, con algunos episodios de volatilidad acotada.</w:t>
      </w:r>
      <w:r>
        <w:rPr>
          <w:rFonts w:ascii="Arial" w:eastAsia="Calibri" w:hAnsi="Arial" w:cs="Arial"/>
          <w:spacing w:val="-1"/>
          <w:sz w:val="17"/>
          <w:szCs w:val="17"/>
        </w:rPr>
        <w:t xml:space="preserve"> </w:t>
      </w:r>
      <w:r w:rsidRPr="00820ECA">
        <w:rPr>
          <w:rFonts w:ascii="Arial" w:eastAsia="Calibri" w:hAnsi="Arial" w:cs="Arial"/>
          <w:spacing w:val="-1"/>
          <w:sz w:val="17"/>
          <w:szCs w:val="17"/>
        </w:rPr>
        <w:t>Las tasas de interés de corto y mediano plazos disminuyeron, reflejando en parte las acciones de política monetaria del Banco de México, mientras que las de largo plazo se ubican en niveles inferiores a los registrados antes de la pandemia.</w:t>
      </w:r>
      <w:r>
        <w:rPr>
          <w:rFonts w:ascii="Arial" w:eastAsia="Calibri" w:hAnsi="Arial" w:cs="Arial"/>
          <w:spacing w:val="-1"/>
          <w:sz w:val="17"/>
          <w:szCs w:val="17"/>
        </w:rPr>
        <w:t xml:space="preserve"> </w:t>
      </w:r>
      <w:r w:rsidRPr="004D69AD">
        <w:rPr>
          <w:rFonts w:ascii="Arial" w:eastAsia="Calibri" w:hAnsi="Arial" w:cs="Arial"/>
          <w:spacing w:val="-1"/>
          <w:sz w:val="17"/>
          <w:szCs w:val="17"/>
        </w:rPr>
        <w:t>Ante los choques derivados de la pandemia, la política monetaria ha buscado contribuir a un ajuste ordenado en los mercados nacionales y en particular en un ajuste a la baja en toda la curva de rendimientos en México.</w:t>
      </w:r>
    </w:p>
    <w:p w:rsidR="00CB1DF1" w:rsidRDefault="00CB1DF1" w:rsidP="00CB1DF1">
      <w:pPr>
        <w:spacing w:before="120" w:after="120" w:line="240" w:lineRule="exact"/>
        <w:jc w:val="both"/>
        <w:rPr>
          <w:rFonts w:ascii="Arial" w:eastAsia="Calibri" w:hAnsi="Arial" w:cs="Arial"/>
          <w:spacing w:val="-1"/>
          <w:sz w:val="17"/>
          <w:szCs w:val="17"/>
        </w:rPr>
      </w:pPr>
      <w:r w:rsidRPr="009A23C7">
        <w:rPr>
          <w:rFonts w:ascii="Arial" w:eastAsia="Calibri" w:hAnsi="Arial" w:cs="Arial"/>
          <w:spacing w:val="-1"/>
          <w:sz w:val="17"/>
          <w:szCs w:val="17"/>
        </w:rPr>
        <w:t>Las previsiones para la Actividad Económica po</w:t>
      </w:r>
      <w:r>
        <w:rPr>
          <w:rFonts w:ascii="Arial" w:eastAsia="Calibri" w:hAnsi="Arial" w:cs="Arial"/>
          <w:spacing w:val="-1"/>
          <w:sz w:val="17"/>
          <w:szCs w:val="17"/>
        </w:rPr>
        <w:t>r parte de BANXICO que menciona en su informe son:</w:t>
      </w:r>
    </w:p>
    <w:p w:rsidR="00CB1DF1" w:rsidRPr="00270DDF" w:rsidRDefault="00CB1DF1" w:rsidP="00CB1DF1">
      <w:pPr>
        <w:pStyle w:val="Prrafodelista"/>
        <w:numPr>
          <w:ilvl w:val="0"/>
          <w:numId w:val="14"/>
        </w:numPr>
        <w:spacing w:before="120" w:after="120" w:line="240" w:lineRule="exact"/>
        <w:jc w:val="both"/>
        <w:rPr>
          <w:rFonts w:ascii="Arial" w:eastAsia="Calibri" w:hAnsi="Arial" w:cs="Arial"/>
          <w:spacing w:val="-1"/>
          <w:sz w:val="17"/>
          <w:szCs w:val="17"/>
        </w:rPr>
      </w:pPr>
      <w:r w:rsidRPr="00270DDF">
        <w:rPr>
          <w:rFonts w:ascii="Arial" w:eastAsia="Calibri" w:hAnsi="Arial" w:cs="Arial"/>
          <w:spacing w:val="-1"/>
          <w:sz w:val="17"/>
          <w:szCs w:val="17"/>
        </w:rPr>
        <w:t>Dada la mayor información que se tiene sobre el impacto adverso inicial y la fase de r</w:t>
      </w:r>
      <w:r>
        <w:rPr>
          <w:rFonts w:ascii="Arial" w:eastAsia="Calibri" w:hAnsi="Arial" w:cs="Arial"/>
          <w:spacing w:val="-1"/>
          <w:sz w:val="17"/>
          <w:szCs w:val="17"/>
        </w:rPr>
        <w:t xml:space="preserve">ecuperación, en esta edición </w:t>
      </w:r>
      <w:r w:rsidRPr="00270DDF">
        <w:rPr>
          <w:rFonts w:ascii="Arial" w:eastAsia="Calibri" w:hAnsi="Arial" w:cs="Arial"/>
          <w:spacing w:val="-1"/>
          <w:sz w:val="17"/>
          <w:szCs w:val="17"/>
        </w:rPr>
        <w:t>presenta un escenario central</w:t>
      </w:r>
      <w:r>
        <w:rPr>
          <w:rFonts w:ascii="Arial" w:eastAsia="Calibri" w:hAnsi="Arial" w:cs="Arial"/>
          <w:spacing w:val="-1"/>
          <w:sz w:val="17"/>
          <w:szCs w:val="17"/>
        </w:rPr>
        <w:t>, es decir,</w:t>
      </w:r>
      <w:r w:rsidRPr="00270DDF">
        <w:rPr>
          <w:rFonts w:ascii="Arial" w:eastAsia="Calibri" w:hAnsi="Arial" w:cs="Arial"/>
          <w:spacing w:val="-1"/>
          <w:sz w:val="17"/>
          <w:szCs w:val="17"/>
        </w:rPr>
        <w:t xml:space="preserve"> supone una recuperación gradual, a un ritmo moderado, a lo largo del horizonte de pronóstico, convergiendo a un crecimiento inercial hacia 2022.</w:t>
      </w:r>
    </w:p>
    <w:p w:rsidR="00CB1DF1" w:rsidRPr="008D5B98" w:rsidRDefault="00CB1DF1" w:rsidP="00CB1DF1">
      <w:pPr>
        <w:pStyle w:val="Prrafodelista"/>
        <w:numPr>
          <w:ilvl w:val="0"/>
          <w:numId w:val="14"/>
        </w:numPr>
        <w:spacing w:before="120" w:after="120" w:line="240" w:lineRule="exact"/>
        <w:jc w:val="both"/>
        <w:rPr>
          <w:rFonts w:ascii="Arial" w:eastAsia="Calibri" w:hAnsi="Arial" w:cs="Arial"/>
          <w:spacing w:val="-1"/>
          <w:sz w:val="17"/>
          <w:szCs w:val="17"/>
        </w:rPr>
      </w:pPr>
      <w:r w:rsidRPr="00270DDF">
        <w:rPr>
          <w:rFonts w:ascii="Arial" w:eastAsia="Calibri" w:hAnsi="Arial" w:cs="Arial"/>
          <w:spacing w:val="-1"/>
          <w:sz w:val="17"/>
          <w:szCs w:val="17"/>
        </w:rPr>
        <w:t>Persiste un alto grado de incertidumbre sobre la evolución futura de la actividad, tanto nacional, como global, esto se refleja en la amplitud del intervalo de crecimiento.</w:t>
      </w:r>
    </w:p>
    <w:p w:rsidR="00CB1DF1" w:rsidRPr="009A23C7" w:rsidRDefault="00CB1DF1" w:rsidP="00CB1DF1">
      <w:p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t>Los Riesgos para el Crecimiento BANXICO considera que para el escenario central están sesgados a la baja si</w:t>
      </w:r>
      <w:r w:rsidRPr="009A23C7">
        <w:rPr>
          <w:rFonts w:ascii="Arial" w:eastAsia="Calibri" w:hAnsi="Arial" w:cs="Arial"/>
          <w:spacing w:val="-1"/>
          <w:sz w:val="17"/>
          <w:szCs w:val="17"/>
        </w:rPr>
        <w:t>:</w:t>
      </w:r>
    </w:p>
    <w:p w:rsidR="00CB1DF1" w:rsidRPr="007D5108" w:rsidRDefault="00CB1DF1" w:rsidP="00CB1DF1">
      <w:pPr>
        <w:pStyle w:val="Prrafodelista"/>
        <w:numPr>
          <w:ilvl w:val="0"/>
          <w:numId w:val="18"/>
        </w:num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t>Se prolonga</w:t>
      </w:r>
      <w:r w:rsidRPr="007D5108">
        <w:rPr>
          <w:rFonts w:ascii="Arial" w:eastAsia="Calibri" w:hAnsi="Arial" w:cs="Arial"/>
          <w:spacing w:val="-1"/>
          <w:sz w:val="17"/>
          <w:szCs w:val="17"/>
        </w:rPr>
        <w:t>n las medidas de distanciamiento social o se retomen medidas más estrictas.</w:t>
      </w:r>
    </w:p>
    <w:p w:rsidR="00CB1DF1" w:rsidRPr="007D5108" w:rsidRDefault="00CB1DF1" w:rsidP="00CB1DF1">
      <w:pPr>
        <w:pStyle w:val="Prrafodelista"/>
        <w:numPr>
          <w:ilvl w:val="0"/>
          <w:numId w:val="18"/>
        </w:numPr>
        <w:spacing w:before="120" w:after="120" w:line="240" w:lineRule="exact"/>
        <w:jc w:val="both"/>
        <w:rPr>
          <w:rFonts w:ascii="Arial" w:eastAsia="Calibri" w:hAnsi="Arial" w:cs="Arial"/>
          <w:spacing w:val="-1"/>
          <w:sz w:val="17"/>
          <w:szCs w:val="17"/>
        </w:rPr>
      </w:pPr>
      <w:r w:rsidRPr="007D5108">
        <w:rPr>
          <w:rFonts w:ascii="Arial" w:eastAsia="Calibri" w:hAnsi="Arial" w:cs="Arial"/>
          <w:spacing w:val="-1"/>
          <w:sz w:val="17"/>
          <w:szCs w:val="17"/>
        </w:rPr>
        <w:t>Episodios adicionales de volatilidad en los mercados financieros internacionales.</w:t>
      </w:r>
    </w:p>
    <w:p w:rsidR="00CB1DF1" w:rsidRPr="007D5108" w:rsidRDefault="00CB1DF1" w:rsidP="00CB1DF1">
      <w:pPr>
        <w:pStyle w:val="Prrafodelista"/>
        <w:numPr>
          <w:ilvl w:val="0"/>
          <w:numId w:val="18"/>
        </w:numPr>
        <w:spacing w:before="120" w:after="120" w:line="240" w:lineRule="exact"/>
        <w:jc w:val="both"/>
        <w:rPr>
          <w:rFonts w:ascii="Arial" w:eastAsia="Calibri" w:hAnsi="Arial" w:cs="Arial"/>
          <w:spacing w:val="-1"/>
          <w:sz w:val="17"/>
          <w:szCs w:val="17"/>
        </w:rPr>
      </w:pPr>
      <w:r w:rsidRPr="007D5108">
        <w:rPr>
          <w:rFonts w:ascii="Arial" w:eastAsia="Calibri" w:hAnsi="Arial" w:cs="Arial"/>
          <w:spacing w:val="-1"/>
          <w:sz w:val="17"/>
          <w:szCs w:val="17"/>
        </w:rPr>
        <w:t>Que las medidas de apoyo a nivel nacional o internacional, sean insuficientes.</w:t>
      </w:r>
    </w:p>
    <w:p w:rsidR="00CB1DF1" w:rsidRPr="007D5108" w:rsidRDefault="00CB1DF1" w:rsidP="00CB1DF1">
      <w:pPr>
        <w:pStyle w:val="Prrafodelista"/>
        <w:numPr>
          <w:ilvl w:val="0"/>
          <w:numId w:val="18"/>
        </w:numPr>
        <w:spacing w:before="120" w:after="120" w:line="240" w:lineRule="exact"/>
        <w:jc w:val="both"/>
        <w:rPr>
          <w:rFonts w:ascii="Arial" w:eastAsia="Calibri" w:hAnsi="Arial" w:cs="Arial"/>
          <w:spacing w:val="-1"/>
          <w:sz w:val="17"/>
          <w:szCs w:val="17"/>
        </w:rPr>
      </w:pPr>
      <w:r w:rsidRPr="007D5108">
        <w:rPr>
          <w:rFonts w:ascii="Arial" w:eastAsia="Calibri" w:hAnsi="Arial" w:cs="Arial"/>
          <w:spacing w:val="-1"/>
          <w:sz w:val="17"/>
          <w:szCs w:val="17"/>
        </w:rPr>
        <w:t>Que las secuelas causadas por la pandemia sobre la economía sean más permanentes.</w:t>
      </w:r>
    </w:p>
    <w:p w:rsidR="00CB1DF1" w:rsidRPr="007D5108" w:rsidRDefault="00CB1DF1" w:rsidP="00CB1DF1">
      <w:pPr>
        <w:pStyle w:val="Prrafodelista"/>
        <w:numPr>
          <w:ilvl w:val="0"/>
          <w:numId w:val="18"/>
        </w:numPr>
        <w:spacing w:before="120" w:after="120" w:line="240" w:lineRule="exact"/>
        <w:jc w:val="both"/>
        <w:rPr>
          <w:rFonts w:ascii="Arial" w:eastAsia="Calibri" w:hAnsi="Arial" w:cs="Arial"/>
          <w:spacing w:val="-1"/>
          <w:sz w:val="17"/>
          <w:szCs w:val="17"/>
        </w:rPr>
      </w:pPr>
      <w:r w:rsidRPr="007D5108">
        <w:rPr>
          <w:rFonts w:ascii="Arial" w:eastAsia="Calibri" w:hAnsi="Arial" w:cs="Arial"/>
          <w:spacing w:val="-1"/>
          <w:sz w:val="17"/>
          <w:szCs w:val="17"/>
        </w:rPr>
        <w:t>Que se observen reducciones en la calificación de la deuda soberana y la de Pemex.</w:t>
      </w:r>
    </w:p>
    <w:p w:rsidR="00CB1DF1" w:rsidRDefault="00CB1DF1" w:rsidP="00CB1DF1">
      <w:pPr>
        <w:pStyle w:val="Prrafodelista"/>
        <w:numPr>
          <w:ilvl w:val="0"/>
          <w:numId w:val="17"/>
        </w:numPr>
        <w:spacing w:before="120" w:after="120" w:line="240" w:lineRule="exact"/>
        <w:ind w:left="357" w:hanging="357"/>
        <w:jc w:val="both"/>
        <w:rPr>
          <w:rFonts w:ascii="Arial" w:eastAsia="Calibri" w:hAnsi="Arial" w:cs="Arial"/>
          <w:spacing w:val="-1"/>
          <w:sz w:val="17"/>
          <w:szCs w:val="17"/>
        </w:rPr>
      </w:pPr>
      <w:r w:rsidRPr="007D5108">
        <w:rPr>
          <w:rFonts w:ascii="Arial" w:eastAsia="Calibri" w:hAnsi="Arial" w:cs="Arial"/>
          <w:spacing w:val="-1"/>
          <w:sz w:val="17"/>
          <w:szCs w:val="17"/>
        </w:rPr>
        <w:t>Que persista el entorno de incertidumbre interna que ha afectado a la inversión.</w:t>
      </w:r>
    </w:p>
    <w:p w:rsidR="00CB1DF1" w:rsidRPr="007D5108" w:rsidRDefault="00CB1DF1" w:rsidP="00CB1DF1">
      <w:p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t>Y al</w:t>
      </w:r>
      <w:r w:rsidRPr="007D5108">
        <w:rPr>
          <w:rFonts w:ascii="Arial" w:eastAsia="Calibri" w:hAnsi="Arial" w:cs="Arial"/>
          <w:spacing w:val="-1"/>
          <w:sz w:val="17"/>
          <w:szCs w:val="17"/>
        </w:rPr>
        <w:t xml:space="preserve"> alza:</w:t>
      </w:r>
    </w:p>
    <w:p w:rsidR="00CB1DF1" w:rsidRPr="007D5108" w:rsidRDefault="00CB1DF1" w:rsidP="00CB1DF1">
      <w:pPr>
        <w:pStyle w:val="Prrafodelista"/>
        <w:numPr>
          <w:ilvl w:val="0"/>
          <w:numId w:val="18"/>
        </w:numPr>
        <w:spacing w:before="120" w:after="120" w:line="240" w:lineRule="exact"/>
        <w:jc w:val="both"/>
        <w:rPr>
          <w:rFonts w:ascii="Arial" w:eastAsia="Calibri" w:hAnsi="Arial" w:cs="Arial"/>
          <w:spacing w:val="-1"/>
          <w:sz w:val="17"/>
          <w:szCs w:val="17"/>
        </w:rPr>
      </w:pPr>
      <w:r w:rsidRPr="007D5108">
        <w:rPr>
          <w:rFonts w:ascii="Arial" w:eastAsia="Calibri" w:hAnsi="Arial" w:cs="Arial"/>
          <w:spacing w:val="-1"/>
          <w:sz w:val="17"/>
          <w:szCs w:val="17"/>
        </w:rPr>
        <w:lastRenderedPageBreak/>
        <w:t>Que la pandemia se disipe en el corto plazo, como resultado de nuevos tratamientos o de la introducción de una vacuna efectiva.</w:t>
      </w:r>
    </w:p>
    <w:p w:rsidR="00CB1DF1" w:rsidRDefault="00CB1DF1" w:rsidP="00CB1DF1">
      <w:pPr>
        <w:pStyle w:val="Prrafodelista"/>
        <w:numPr>
          <w:ilvl w:val="0"/>
          <w:numId w:val="18"/>
        </w:numPr>
        <w:spacing w:before="120" w:after="120" w:line="240" w:lineRule="exact"/>
        <w:jc w:val="both"/>
        <w:rPr>
          <w:rFonts w:ascii="Arial" w:eastAsia="Calibri" w:hAnsi="Arial" w:cs="Arial"/>
          <w:spacing w:val="-1"/>
          <w:sz w:val="17"/>
          <w:szCs w:val="17"/>
        </w:rPr>
      </w:pPr>
      <w:r w:rsidRPr="003F15B8">
        <w:rPr>
          <w:rFonts w:ascii="Arial" w:eastAsia="Calibri" w:hAnsi="Arial" w:cs="Arial"/>
          <w:spacing w:val="-1"/>
          <w:sz w:val="17"/>
          <w:szCs w:val="17"/>
        </w:rPr>
        <w:t>Que los estímulos que se han otorgado sean efectivos para contrarrestar las secuelas de la  pandemia y apoyar la recuperación de la economía global.</w:t>
      </w:r>
    </w:p>
    <w:p w:rsidR="00CB1DF1" w:rsidRPr="003F15B8" w:rsidRDefault="00CB1DF1" w:rsidP="00CB1DF1">
      <w:pPr>
        <w:pStyle w:val="Prrafodelista"/>
        <w:numPr>
          <w:ilvl w:val="0"/>
          <w:numId w:val="18"/>
        </w:numPr>
        <w:spacing w:before="120" w:after="120" w:line="240" w:lineRule="exact"/>
        <w:jc w:val="both"/>
        <w:rPr>
          <w:rFonts w:ascii="Arial" w:eastAsia="Calibri" w:hAnsi="Arial" w:cs="Arial"/>
          <w:spacing w:val="-1"/>
          <w:sz w:val="17"/>
          <w:szCs w:val="17"/>
        </w:rPr>
      </w:pPr>
      <w:r w:rsidRPr="003F15B8">
        <w:rPr>
          <w:rFonts w:ascii="Arial" w:eastAsia="Calibri" w:hAnsi="Arial" w:cs="Arial"/>
          <w:spacing w:val="-1"/>
          <w:sz w:val="17"/>
          <w:szCs w:val="17"/>
        </w:rPr>
        <w:t>Que la reciente entrada en vigor del T-MEC propicie una inversión mayor a la esperada.</w:t>
      </w:r>
    </w:p>
    <w:p w:rsidR="00CB1DF1" w:rsidRDefault="00CB1DF1" w:rsidP="00CB1DF1">
      <w:p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t>Las p</w:t>
      </w:r>
      <w:r w:rsidRPr="009A23C7">
        <w:rPr>
          <w:rFonts w:ascii="Arial" w:eastAsia="Calibri" w:hAnsi="Arial" w:cs="Arial"/>
          <w:spacing w:val="-1"/>
          <w:sz w:val="17"/>
          <w:szCs w:val="17"/>
        </w:rPr>
        <w:t>revisiones para la Inflación</w:t>
      </w:r>
      <w:r>
        <w:rPr>
          <w:rFonts w:ascii="Arial" w:eastAsia="Calibri" w:hAnsi="Arial" w:cs="Arial"/>
          <w:spacing w:val="-1"/>
          <w:sz w:val="17"/>
          <w:szCs w:val="17"/>
        </w:rPr>
        <w:t xml:space="preserve"> que BANXICO señala en su informe que:</w:t>
      </w:r>
    </w:p>
    <w:p w:rsidR="00CB1DF1" w:rsidRDefault="00CB1DF1" w:rsidP="00CB1DF1">
      <w:pPr>
        <w:pStyle w:val="Prrafodelista"/>
        <w:numPr>
          <w:ilvl w:val="0"/>
          <w:numId w:val="20"/>
        </w:numPr>
        <w:spacing w:before="120" w:after="120" w:line="240" w:lineRule="exact"/>
        <w:jc w:val="both"/>
        <w:rPr>
          <w:rFonts w:ascii="Arial" w:eastAsia="Calibri" w:hAnsi="Arial" w:cs="Arial"/>
          <w:spacing w:val="-1"/>
          <w:sz w:val="17"/>
          <w:szCs w:val="17"/>
        </w:rPr>
      </w:pPr>
      <w:r w:rsidRPr="008D5B98">
        <w:rPr>
          <w:rFonts w:ascii="Arial" w:eastAsia="Calibri" w:hAnsi="Arial" w:cs="Arial"/>
          <w:spacing w:val="-1"/>
          <w:sz w:val="17"/>
          <w:szCs w:val="17"/>
        </w:rPr>
        <w:t>La pandemia y sus efectos sobre la actividad económica continúan generando incertidumbre sobre la trayectoria de la inflación.</w:t>
      </w:r>
    </w:p>
    <w:p w:rsidR="00CB1DF1" w:rsidRDefault="00CB1DF1" w:rsidP="00CB1DF1">
      <w:pPr>
        <w:pStyle w:val="Prrafodelista"/>
        <w:numPr>
          <w:ilvl w:val="0"/>
          <w:numId w:val="20"/>
        </w:numPr>
        <w:spacing w:before="120" w:after="120" w:line="240" w:lineRule="exact"/>
        <w:jc w:val="both"/>
        <w:rPr>
          <w:rFonts w:ascii="Arial" w:eastAsia="Calibri" w:hAnsi="Arial" w:cs="Arial"/>
          <w:spacing w:val="-1"/>
          <w:sz w:val="17"/>
          <w:szCs w:val="17"/>
        </w:rPr>
      </w:pPr>
      <w:r w:rsidRPr="008D5B98">
        <w:rPr>
          <w:rFonts w:ascii="Arial" w:eastAsia="Calibri" w:hAnsi="Arial" w:cs="Arial"/>
          <w:spacing w:val="-1"/>
          <w:sz w:val="17"/>
          <w:szCs w:val="17"/>
        </w:rPr>
        <w:t>A partir del escenario central para la actividad económica, se presenta un escenario central para la inflación.</w:t>
      </w:r>
    </w:p>
    <w:p w:rsidR="00CB1DF1" w:rsidRDefault="00CB1DF1" w:rsidP="00CB1DF1">
      <w:pPr>
        <w:pStyle w:val="Prrafodelista"/>
        <w:numPr>
          <w:ilvl w:val="0"/>
          <w:numId w:val="20"/>
        </w:numPr>
        <w:spacing w:before="120" w:after="120" w:line="240" w:lineRule="exact"/>
        <w:jc w:val="both"/>
        <w:rPr>
          <w:rFonts w:ascii="Arial" w:eastAsia="Calibri" w:hAnsi="Arial" w:cs="Arial"/>
          <w:spacing w:val="-1"/>
          <w:sz w:val="17"/>
          <w:szCs w:val="17"/>
        </w:rPr>
      </w:pPr>
      <w:r w:rsidRPr="008D5B98">
        <w:rPr>
          <w:rFonts w:ascii="Arial" w:eastAsia="Calibri" w:hAnsi="Arial" w:cs="Arial"/>
          <w:spacing w:val="-1"/>
          <w:sz w:val="17"/>
          <w:szCs w:val="17"/>
        </w:rPr>
        <w:t>También presenta el pronóstico de inflación en su variación trimestral ajustada por estacionalidad.</w:t>
      </w:r>
    </w:p>
    <w:p w:rsidR="00CB1DF1" w:rsidRPr="008D5B98" w:rsidRDefault="00CB1DF1" w:rsidP="00CB1DF1">
      <w:pPr>
        <w:pStyle w:val="Prrafodelista"/>
        <w:numPr>
          <w:ilvl w:val="0"/>
          <w:numId w:val="20"/>
        </w:num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t>La previsión para la Inflación General en e</w:t>
      </w:r>
      <w:r w:rsidRPr="008D5B98">
        <w:rPr>
          <w:rFonts w:ascii="Arial" w:eastAsia="Calibri" w:hAnsi="Arial" w:cs="Arial"/>
          <w:spacing w:val="-1"/>
          <w:sz w:val="17"/>
          <w:szCs w:val="17"/>
        </w:rPr>
        <w:t>l corto plazo se ajusta a la baja respecto al escenario anterior por su comportamiento observado; y posteriormente presenta trayectorias ligeramente más elevadas para la subyacente y la no subyacente. Se continúa esperando que en el horizonte de pronóstico de 12 a 24 meses la inflación general se ubique alrededor de 3%.</w:t>
      </w:r>
    </w:p>
    <w:p w:rsidR="00CB1DF1" w:rsidRPr="003F15B8" w:rsidRDefault="00CB1DF1" w:rsidP="00CB1DF1">
      <w:p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t xml:space="preserve">Los Riesgos </w:t>
      </w:r>
      <w:r w:rsidRPr="003F15B8">
        <w:rPr>
          <w:rFonts w:ascii="Arial" w:eastAsia="Calibri" w:hAnsi="Arial" w:cs="Arial"/>
          <w:spacing w:val="-1"/>
          <w:sz w:val="17"/>
          <w:szCs w:val="17"/>
        </w:rPr>
        <w:t>para el Escenario de Inflación en el Horizonte de Pronóstico</w:t>
      </w:r>
      <w:r>
        <w:rPr>
          <w:rFonts w:ascii="Arial" w:eastAsia="Calibri" w:hAnsi="Arial" w:cs="Arial"/>
          <w:spacing w:val="-1"/>
          <w:sz w:val="17"/>
          <w:szCs w:val="17"/>
        </w:rPr>
        <w:t xml:space="preserve"> </w:t>
      </w:r>
      <w:r w:rsidRPr="003F15B8">
        <w:rPr>
          <w:rFonts w:ascii="Arial" w:eastAsia="Calibri" w:hAnsi="Arial" w:cs="Arial"/>
          <w:spacing w:val="-1"/>
          <w:sz w:val="17"/>
          <w:szCs w:val="17"/>
        </w:rPr>
        <w:t xml:space="preserve">BANXICO </w:t>
      </w:r>
      <w:r>
        <w:rPr>
          <w:rFonts w:ascii="Arial" w:eastAsia="Calibri" w:hAnsi="Arial" w:cs="Arial"/>
          <w:spacing w:val="-1"/>
          <w:sz w:val="17"/>
          <w:szCs w:val="17"/>
        </w:rPr>
        <w:t>señala en su informe que e</w:t>
      </w:r>
      <w:r w:rsidRPr="003F15B8">
        <w:rPr>
          <w:rFonts w:ascii="Arial" w:eastAsia="Calibri" w:hAnsi="Arial" w:cs="Arial"/>
          <w:spacing w:val="-1"/>
          <w:sz w:val="17"/>
          <w:szCs w:val="17"/>
        </w:rPr>
        <w:t>l balance de riesgos alrededor de la trayectoria esperada para la inflación es incierto</w:t>
      </w:r>
      <w:r>
        <w:rPr>
          <w:rFonts w:ascii="Arial" w:eastAsia="Calibri" w:hAnsi="Arial" w:cs="Arial"/>
          <w:spacing w:val="-1"/>
          <w:sz w:val="17"/>
          <w:szCs w:val="17"/>
        </w:rPr>
        <w:t xml:space="preserve">, por lo que se </w:t>
      </w:r>
      <w:r w:rsidRPr="003F15B8">
        <w:rPr>
          <w:rFonts w:ascii="Arial" w:eastAsia="Calibri" w:hAnsi="Arial" w:cs="Arial"/>
          <w:spacing w:val="-1"/>
          <w:sz w:val="17"/>
          <w:szCs w:val="17"/>
        </w:rPr>
        <w:t>considera a la baja si:</w:t>
      </w:r>
    </w:p>
    <w:p w:rsidR="00CB1DF1" w:rsidRDefault="00CB1DF1" w:rsidP="00CB1DF1">
      <w:pPr>
        <w:pStyle w:val="Prrafodelista"/>
        <w:numPr>
          <w:ilvl w:val="0"/>
          <w:numId w:val="21"/>
        </w:numPr>
        <w:spacing w:before="120" w:after="120" w:line="240" w:lineRule="exact"/>
        <w:jc w:val="both"/>
        <w:rPr>
          <w:rFonts w:ascii="Arial" w:eastAsia="Calibri" w:hAnsi="Arial" w:cs="Arial"/>
          <w:spacing w:val="-1"/>
          <w:sz w:val="17"/>
          <w:szCs w:val="17"/>
        </w:rPr>
      </w:pPr>
      <w:r w:rsidRPr="0003722C">
        <w:rPr>
          <w:rFonts w:ascii="Arial" w:eastAsia="Calibri" w:hAnsi="Arial" w:cs="Arial"/>
          <w:spacing w:val="-1"/>
          <w:sz w:val="17"/>
          <w:szCs w:val="17"/>
        </w:rPr>
        <w:t>Un efecto mayor al esperado por la brecha negativa del producto, menor demanda de bienes y servicios por medidas adicionales de distanciamiento, o que ante la debilidad de la demanda, las reducciones de precios durante “El Buen Fin” sean más persistentes.</w:t>
      </w:r>
    </w:p>
    <w:p w:rsidR="00CB1DF1" w:rsidRDefault="00CB1DF1" w:rsidP="00CB1DF1">
      <w:pPr>
        <w:pStyle w:val="Prrafodelista"/>
        <w:numPr>
          <w:ilvl w:val="0"/>
          <w:numId w:val="21"/>
        </w:numPr>
        <w:spacing w:before="120" w:after="120" w:line="240" w:lineRule="exact"/>
        <w:jc w:val="both"/>
        <w:rPr>
          <w:rFonts w:ascii="Arial" w:eastAsia="Calibri" w:hAnsi="Arial" w:cs="Arial"/>
          <w:spacing w:val="-1"/>
          <w:sz w:val="17"/>
          <w:szCs w:val="17"/>
        </w:rPr>
      </w:pPr>
      <w:r w:rsidRPr="0003722C">
        <w:rPr>
          <w:rFonts w:ascii="Arial" w:eastAsia="Calibri" w:hAnsi="Arial" w:cs="Arial"/>
          <w:spacing w:val="-1"/>
          <w:sz w:val="17"/>
          <w:szCs w:val="17"/>
        </w:rPr>
        <w:t>Menores presiones inflacionarias globales.</w:t>
      </w:r>
    </w:p>
    <w:p w:rsidR="00CB1DF1" w:rsidRDefault="00CB1DF1" w:rsidP="00CB1DF1">
      <w:pPr>
        <w:pStyle w:val="Prrafodelista"/>
        <w:numPr>
          <w:ilvl w:val="0"/>
          <w:numId w:val="21"/>
        </w:numPr>
        <w:spacing w:before="120" w:after="120" w:line="240" w:lineRule="exact"/>
        <w:jc w:val="both"/>
        <w:rPr>
          <w:rFonts w:ascii="Arial" w:eastAsia="Calibri" w:hAnsi="Arial" w:cs="Arial"/>
          <w:spacing w:val="-1"/>
          <w:sz w:val="17"/>
          <w:szCs w:val="17"/>
        </w:rPr>
      </w:pPr>
      <w:r w:rsidRPr="0003722C">
        <w:rPr>
          <w:rFonts w:ascii="Arial" w:eastAsia="Calibri" w:hAnsi="Arial" w:cs="Arial"/>
          <w:spacing w:val="-1"/>
          <w:sz w:val="17"/>
          <w:szCs w:val="17"/>
        </w:rPr>
        <w:t>Que el tipo de cambio se aprecie.</w:t>
      </w:r>
    </w:p>
    <w:p w:rsidR="00CB1DF1" w:rsidRDefault="00CB1DF1" w:rsidP="00CB1DF1">
      <w:pPr>
        <w:pStyle w:val="Prrafodelista"/>
        <w:numPr>
          <w:ilvl w:val="0"/>
          <w:numId w:val="21"/>
        </w:numPr>
        <w:spacing w:before="120" w:after="120" w:line="240" w:lineRule="exact"/>
        <w:jc w:val="both"/>
        <w:rPr>
          <w:rFonts w:ascii="Arial" w:eastAsia="Calibri" w:hAnsi="Arial" w:cs="Arial"/>
          <w:spacing w:val="-1"/>
          <w:sz w:val="17"/>
          <w:szCs w:val="17"/>
        </w:rPr>
      </w:pPr>
      <w:r w:rsidRPr="0003722C">
        <w:rPr>
          <w:rFonts w:ascii="Arial" w:eastAsia="Calibri" w:hAnsi="Arial" w:cs="Arial"/>
          <w:spacing w:val="-1"/>
          <w:sz w:val="17"/>
          <w:szCs w:val="17"/>
        </w:rPr>
        <w:t>Que los precios de los energéticos se ubiquen por debajo de lo previsto.</w:t>
      </w:r>
    </w:p>
    <w:p w:rsidR="00CB1DF1" w:rsidRPr="0003722C" w:rsidRDefault="00CB1DF1" w:rsidP="00CB1DF1">
      <w:pPr>
        <w:pStyle w:val="Prrafodelista"/>
        <w:numPr>
          <w:ilvl w:val="0"/>
          <w:numId w:val="21"/>
        </w:numPr>
        <w:spacing w:before="120" w:after="120" w:line="240" w:lineRule="exact"/>
        <w:jc w:val="both"/>
        <w:rPr>
          <w:rFonts w:ascii="Arial" w:eastAsia="Calibri" w:hAnsi="Arial" w:cs="Arial"/>
          <w:spacing w:val="-1"/>
          <w:sz w:val="17"/>
          <w:szCs w:val="17"/>
        </w:rPr>
      </w:pPr>
      <w:r w:rsidRPr="0003722C">
        <w:rPr>
          <w:rFonts w:ascii="Arial" w:eastAsia="Calibri" w:hAnsi="Arial" w:cs="Arial"/>
          <w:spacing w:val="-1"/>
          <w:sz w:val="17"/>
          <w:szCs w:val="17"/>
        </w:rPr>
        <w:t>Que por la holgura en la economía las revisiones salariales no presionen a los precios.</w:t>
      </w:r>
    </w:p>
    <w:p w:rsidR="00CB1DF1" w:rsidRPr="0003722C" w:rsidRDefault="00CB1DF1" w:rsidP="00CB1DF1">
      <w:pPr>
        <w:spacing w:before="120" w:after="120" w:line="240" w:lineRule="exact"/>
        <w:jc w:val="both"/>
        <w:rPr>
          <w:rFonts w:ascii="Arial" w:eastAsia="Calibri" w:hAnsi="Arial" w:cs="Arial"/>
          <w:spacing w:val="-1"/>
          <w:sz w:val="17"/>
          <w:szCs w:val="17"/>
        </w:rPr>
      </w:pPr>
      <w:r w:rsidRPr="0003722C">
        <w:rPr>
          <w:rFonts w:ascii="Arial" w:eastAsia="Calibri" w:hAnsi="Arial" w:cs="Arial"/>
          <w:spacing w:val="-1"/>
          <w:sz w:val="17"/>
          <w:szCs w:val="17"/>
        </w:rPr>
        <w:t>Al alza</w:t>
      </w:r>
      <w:r>
        <w:rPr>
          <w:rFonts w:ascii="Arial" w:eastAsia="Calibri" w:hAnsi="Arial" w:cs="Arial"/>
          <w:spacing w:val="-1"/>
          <w:sz w:val="17"/>
          <w:szCs w:val="17"/>
        </w:rPr>
        <w:t xml:space="preserve"> si:</w:t>
      </w:r>
    </w:p>
    <w:p w:rsidR="00CB1DF1" w:rsidRDefault="00CB1DF1" w:rsidP="00CB1DF1">
      <w:pPr>
        <w:pStyle w:val="Prrafodelista"/>
        <w:numPr>
          <w:ilvl w:val="0"/>
          <w:numId w:val="22"/>
        </w:numPr>
        <w:spacing w:before="120" w:after="120" w:line="240" w:lineRule="exact"/>
        <w:jc w:val="both"/>
        <w:rPr>
          <w:rFonts w:ascii="Arial" w:eastAsia="Calibri" w:hAnsi="Arial" w:cs="Arial"/>
          <w:spacing w:val="-1"/>
          <w:sz w:val="17"/>
          <w:szCs w:val="17"/>
        </w:rPr>
      </w:pPr>
      <w:r w:rsidRPr="0003722C">
        <w:rPr>
          <w:rFonts w:ascii="Arial" w:eastAsia="Calibri" w:hAnsi="Arial" w:cs="Arial"/>
          <w:spacing w:val="-1"/>
          <w:sz w:val="17"/>
          <w:szCs w:val="17"/>
        </w:rPr>
        <w:t>Persistencia de la inflación subyacente en niveles elevados.</w:t>
      </w:r>
    </w:p>
    <w:p w:rsidR="00CB1DF1" w:rsidRDefault="00CB1DF1" w:rsidP="00CB1DF1">
      <w:pPr>
        <w:pStyle w:val="Prrafodelista"/>
        <w:numPr>
          <w:ilvl w:val="0"/>
          <w:numId w:val="22"/>
        </w:numPr>
        <w:spacing w:before="120" w:after="120" w:line="240" w:lineRule="exact"/>
        <w:jc w:val="both"/>
        <w:rPr>
          <w:rFonts w:ascii="Arial" w:eastAsia="Calibri" w:hAnsi="Arial" w:cs="Arial"/>
          <w:spacing w:val="-1"/>
          <w:sz w:val="17"/>
          <w:szCs w:val="17"/>
        </w:rPr>
      </w:pPr>
      <w:r w:rsidRPr="0003722C">
        <w:rPr>
          <w:rFonts w:ascii="Arial" w:eastAsia="Calibri" w:hAnsi="Arial" w:cs="Arial"/>
          <w:spacing w:val="-1"/>
          <w:sz w:val="17"/>
          <w:szCs w:val="17"/>
        </w:rPr>
        <w:t>Episodios de depreciación cambiaria.</w:t>
      </w:r>
    </w:p>
    <w:p w:rsidR="00CB1DF1" w:rsidRDefault="00CB1DF1" w:rsidP="00CB1DF1">
      <w:pPr>
        <w:pStyle w:val="Prrafodelista"/>
        <w:numPr>
          <w:ilvl w:val="0"/>
          <w:numId w:val="22"/>
        </w:numPr>
        <w:spacing w:before="120" w:after="120" w:line="240" w:lineRule="exact"/>
        <w:jc w:val="both"/>
        <w:rPr>
          <w:rFonts w:ascii="Arial" w:eastAsia="Calibri" w:hAnsi="Arial" w:cs="Arial"/>
          <w:spacing w:val="-1"/>
          <w:sz w:val="17"/>
          <w:szCs w:val="17"/>
        </w:rPr>
      </w:pPr>
      <w:r w:rsidRPr="0003722C">
        <w:rPr>
          <w:rFonts w:ascii="Arial" w:eastAsia="Calibri" w:hAnsi="Arial" w:cs="Arial"/>
          <w:spacing w:val="-1"/>
          <w:sz w:val="17"/>
          <w:szCs w:val="17"/>
        </w:rPr>
        <w:t>Aumento en la demanda relativa por ciertos bienes en el contexto de la contingencia sanitaria.</w:t>
      </w:r>
    </w:p>
    <w:p w:rsidR="00CB1DF1" w:rsidRDefault="00CB1DF1" w:rsidP="00CB1DF1">
      <w:pPr>
        <w:pStyle w:val="Prrafodelista"/>
        <w:numPr>
          <w:ilvl w:val="0"/>
          <w:numId w:val="22"/>
        </w:numPr>
        <w:spacing w:before="120" w:after="120" w:line="240" w:lineRule="exact"/>
        <w:jc w:val="both"/>
        <w:rPr>
          <w:rFonts w:ascii="Arial" w:eastAsia="Calibri" w:hAnsi="Arial" w:cs="Arial"/>
          <w:spacing w:val="-1"/>
          <w:sz w:val="17"/>
          <w:szCs w:val="17"/>
        </w:rPr>
      </w:pPr>
      <w:r w:rsidRPr="0003722C">
        <w:rPr>
          <w:rFonts w:ascii="Arial" w:eastAsia="Calibri" w:hAnsi="Arial" w:cs="Arial"/>
          <w:spacing w:val="-1"/>
          <w:sz w:val="17"/>
          <w:szCs w:val="17"/>
        </w:rPr>
        <w:t>Que los precios de los energéticos se sitúen en niveles mayores a los anticipados.</w:t>
      </w:r>
    </w:p>
    <w:p w:rsidR="00CB1DF1" w:rsidRPr="0003722C" w:rsidRDefault="00CB1DF1" w:rsidP="00CB1DF1">
      <w:pPr>
        <w:pStyle w:val="Prrafodelista"/>
        <w:numPr>
          <w:ilvl w:val="0"/>
          <w:numId w:val="22"/>
        </w:numPr>
        <w:spacing w:before="120" w:after="120" w:line="240" w:lineRule="exact"/>
        <w:jc w:val="both"/>
        <w:rPr>
          <w:rFonts w:ascii="Arial" w:eastAsia="Calibri" w:hAnsi="Arial" w:cs="Arial"/>
          <w:spacing w:val="-1"/>
          <w:sz w:val="17"/>
          <w:szCs w:val="17"/>
        </w:rPr>
      </w:pPr>
      <w:r w:rsidRPr="0003722C">
        <w:rPr>
          <w:rFonts w:ascii="Arial" w:eastAsia="Calibri" w:hAnsi="Arial" w:cs="Arial"/>
          <w:spacing w:val="-1"/>
          <w:sz w:val="17"/>
          <w:szCs w:val="17"/>
        </w:rPr>
        <w:t>Presiones de costos que, a pesar de la holgura, presionen los precios al consumidor.</w:t>
      </w:r>
    </w:p>
    <w:p w:rsidR="00CB1DF1" w:rsidRPr="00C22526" w:rsidRDefault="00CB1DF1" w:rsidP="00CB1DF1">
      <w:p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t xml:space="preserve">Por último BANXICO emite en su informe las siguientes </w:t>
      </w:r>
      <w:r w:rsidRPr="00C22526">
        <w:rPr>
          <w:rFonts w:ascii="Arial" w:eastAsia="Calibri" w:hAnsi="Arial" w:cs="Arial"/>
          <w:spacing w:val="-1"/>
          <w:sz w:val="17"/>
          <w:szCs w:val="17"/>
        </w:rPr>
        <w:t>Consideraciones Finales</w:t>
      </w:r>
      <w:r>
        <w:rPr>
          <w:rFonts w:ascii="Arial" w:eastAsia="Calibri" w:hAnsi="Arial" w:cs="Arial"/>
          <w:spacing w:val="-1"/>
          <w:sz w:val="17"/>
          <w:szCs w:val="17"/>
        </w:rPr>
        <w:t>:</w:t>
      </w:r>
    </w:p>
    <w:p w:rsidR="00CB1DF1" w:rsidRPr="00C22526" w:rsidRDefault="00CB1DF1" w:rsidP="00CB1DF1">
      <w:pPr>
        <w:pStyle w:val="Prrafodelista"/>
        <w:numPr>
          <w:ilvl w:val="0"/>
          <w:numId w:val="19"/>
        </w:numPr>
        <w:spacing w:before="120" w:after="120" w:line="240" w:lineRule="exact"/>
        <w:jc w:val="both"/>
        <w:rPr>
          <w:rFonts w:ascii="Arial" w:eastAsia="Calibri" w:hAnsi="Arial" w:cs="Arial"/>
          <w:spacing w:val="-1"/>
          <w:sz w:val="17"/>
          <w:szCs w:val="17"/>
        </w:rPr>
      </w:pPr>
      <w:r w:rsidRPr="00C22526">
        <w:rPr>
          <w:rFonts w:ascii="Arial" w:eastAsia="Calibri" w:hAnsi="Arial" w:cs="Arial"/>
          <w:spacing w:val="-1"/>
          <w:sz w:val="17"/>
          <w:szCs w:val="17"/>
        </w:rPr>
        <w:t>La Junta de Gobierno tomará las acciones que considere necesarias con base en la información adicional, a fin de que la tasa de referencia sea congruente con la convergencia ordenada y sostenida de la inflación general a la meta en el plazo en el que opera la política monetaria.</w:t>
      </w:r>
    </w:p>
    <w:p w:rsidR="00CB1DF1" w:rsidRPr="00C22526" w:rsidRDefault="00CB1DF1" w:rsidP="00CB1DF1">
      <w:pPr>
        <w:pStyle w:val="Prrafodelista"/>
        <w:numPr>
          <w:ilvl w:val="0"/>
          <w:numId w:val="19"/>
        </w:numPr>
        <w:spacing w:before="120" w:after="120" w:line="240" w:lineRule="exact"/>
        <w:jc w:val="both"/>
        <w:rPr>
          <w:rFonts w:ascii="Arial" w:eastAsia="Calibri" w:hAnsi="Arial" w:cs="Arial"/>
          <w:spacing w:val="-1"/>
          <w:sz w:val="17"/>
          <w:szCs w:val="17"/>
        </w:rPr>
      </w:pPr>
      <w:r w:rsidRPr="00C22526">
        <w:rPr>
          <w:rFonts w:ascii="Arial" w:eastAsia="Calibri" w:hAnsi="Arial" w:cs="Arial"/>
          <w:spacing w:val="-1"/>
          <w:sz w:val="17"/>
          <w:szCs w:val="17"/>
        </w:rPr>
        <w:t>La conducción de la política monetaria dependerá de la evolución de los factores que inciden en la inflación general y subyacente, en sus trayectorias previstas en el horizonte de pronóstico y en sus expectativas.</w:t>
      </w:r>
    </w:p>
    <w:p w:rsidR="00CB1DF1" w:rsidRPr="00C22526" w:rsidRDefault="00CB1DF1" w:rsidP="00CB1DF1">
      <w:pPr>
        <w:pStyle w:val="Prrafodelista"/>
        <w:numPr>
          <w:ilvl w:val="0"/>
          <w:numId w:val="19"/>
        </w:numPr>
        <w:spacing w:before="120" w:after="120" w:line="240" w:lineRule="exact"/>
        <w:jc w:val="both"/>
        <w:rPr>
          <w:rFonts w:ascii="Arial" w:eastAsia="Calibri" w:hAnsi="Arial" w:cs="Arial"/>
          <w:spacing w:val="-1"/>
          <w:sz w:val="17"/>
          <w:szCs w:val="17"/>
        </w:rPr>
      </w:pPr>
      <w:r w:rsidRPr="00C22526">
        <w:rPr>
          <w:rFonts w:ascii="Arial" w:eastAsia="Calibri" w:hAnsi="Arial" w:cs="Arial"/>
          <w:spacing w:val="-1"/>
          <w:sz w:val="17"/>
          <w:szCs w:val="17"/>
        </w:rPr>
        <w:t>Perseverar en fortalecer los fundamentos macroeconómicos y adoptar las acciones necesarias en los ámbitos monetario y fiscal, contribuirá a un mejor ajuste de los mercados financieros nacionales y de la economía en su conjunto.</w:t>
      </w:r>
    </w:p>
    <w:p w:rsidR="00CB1DF1" w:rsidRPr="00C22526" w:rsidRDefault="00CB1DF1" w:rsidP="00CB1DF1">
      <w:pPr>
        <w:pStyle w:val="Prrafodelista"/>
        <w:numPr>
          <w:ilvl w:val="0"/>
          <w:numId w:val="19"/>
        </w:numPr>
        <w:spacing w:before="120" w:after="120" w:line="240" w:lineRule="exact"/>
        <w:jc w:val="both"/>
        <w:rPr>
          <w:rFonts w:ascii="Arial" w:eastAsia="Calibri" w:hAnsi="Arial" w:cs="Arial"/>
          <w:spacing w:val="-1"/>
          <w:sz w:val="17"/>
          <w:szCs w:val="17"/>
        </w:rPr>
      </w:pPr>
      <w:r w:rsidRPr="00C22526">
        <w:rPr>
          <w:rFonts w:ascii="Arial" w:eastAsia="Calibri" w:hAnsi="Arial" w:cs="Arial"/>
          <w:spacing w:val="-1"/>
          <w:sz w:val="17"/>
          <w:szCs w:val="17"/>
        </w:rPr>
        <w:t>Es necesario contribuir a que la economía se ajuste con orden y así contribuir a la reactivación de la actividad productiva y del empleo, permitiendo la flexibilidad en la asignación de recursos, procurando un buen funcionamiento microeconómico y atendiendo los problemas institucionales y estructurales.</w:t>
      </w:r>
    </w:p>
    <w:p w:rsidR="00CB1DF1" w:rsidRPr="007558F0" w:rsidRDefault="00CB1DF1" w:rsidP="00CB1DF1">
      <w:pPr>
        <w:spacing w:after="160" w:line="259" w:lineRule="auto"/>
        <w:rPr>
          <w:rFonts w:ascii="Arial" w:eastAsia="Calibri" w:hAnsi="Arial" w:cs="Arial"/>
          <w:spacing w:val="-1"/>
          <w:sz w:val="17"/>
          <w:szCs w:val="17"/>
          <w:highlight w:val="yellow"/>
        </w:rPr>
      </w:pPr>
    </w:p>
    <w:p w:rsidR="00CB1DF1" w:rsidRPr="007558F0" w:rsidRDefault="00CB1DF1" w:rsidP="00CB1DF1">
      <w:pPr>
        <w:spacing w:before="120" w:after="120" w:line="240" w:lineRule="exact"/>
        <w:jc w:val="both"/>
        <w:rPr>
          <w:rFonts w:ascii="Arial" w:eastAsia="Calibri" w:hAnsi="Arial" w:cs="Arial"/>
          <w:spacing w:val="-1"/>
          <w:sz w:val="17"/>
          <w:szCs w:val="17"/>
          <w:highlight w:val="yellow"/>
        </w:rPr>
      </w:pPr>
    </w:p>
    <w:p w:rsidR="00CB1DF1" w:rsidRPr="00674D2C" w:rsidRDefault="00CB1DF1" w:rsidP="00CB1DF1">
      <w:pPr>
        <w:spacing w:before="120" w:after="120" w:line="240" w:lineRule="exact"/>
        <w:jc w:val="both"/>
        <w:rPr>
          <w:rFonts w:ascii="Arial" w:hAnsi="Arial" w:cs="Arial"/>
          <w:b/>
          <w:bCs/>
          <w:color w:val="000000"/>
          <w:sz w:val="18"/>
          <w:szCs w:val="34"/>
          <w:shd w:val="clear" w:color="auto" w:fill="FFFFFF"/>
        </w:rPr>
      </w:pPr>
      <w:r w:rsidRPr="00674D2C">
        <w:rPr>
          <w:rFonts w:ascii="Arial" w:hAnsi="Arial" w:cs="Arial"/>
          <w:b/>
          <w:bCs/>
          <w:color w:val="000000"/>
          <w:sz w:val="18"/>
          <w:szCs w:val="34"/>
          <w:shd w:val="clear" w:color="auto" w:fill="FFFFFF"/>
        </w:rPr>
        <w:lastRenderedPageBreak/>
        <w:t>Indicador Trimestral de la Actividad Económica Estatal</w:t>
      </w:r>
    </w:p>
    <w:p w:rsidR="00CB1DF1" w:rsidRDefault="00CB1DF1" w:rsidP="00CB1DF1">
      <w:pPr>
        <w:pStyle w:val="p02"/>
        <w:keepLines w:val="0"/>
        <w:widowControl w:val="0"/>
        <w:jc w:val="center"/>
        <w:rPr>
          <w:rFonts w:ascii="Arial" w:hAnsi="Arial" w:cs="Arial"/>
          <w:b/>
          <w:smallCaps/>
          <w:color w:val="auto"/>
          <w:sz w:val="22"/>
        </w:rPr>
      </w:pPr>
      <w:r w:rsidRPr="00156EF2">
        <w:rPr>
          <w:rFonts w:ascii="Arial" w:hAnsi="Arial" w:cs="Arial"/>
          <w:b/>
          <w:smallCaps/>
          <w:color w:val="auto"/>
          <w:sz w:val="22"/>
        </w:rPr>
        <w:t xml:space="preserve">Indicador </w:t>
      </w:r>
      <w:r>
        <w:rPr>
          <w:rFonts w:ascii="Arial" w:hAnsi="Arial" w:cs="Arial"/>
          <w:b/>
          <w:smallCaps/>
          <w:color w:val="auto"/>
          <w:sz w:val="22"/>
        </w:rPr>
        <w:t>Trimestral de la Actividad</w:t>
      </w:r>
      <w:r w:rsidRPr="009128DE">
        <w:rPr>
          <w:rFonts w:ascii="Arial" w:hAnsi="Arial" w:cs="Arial"/>
          <w:b/>
          <w:smallCaps/>
          <w:color w:val="auto"/>
          <w:sz w:val="22"/>
        </w:rPr>
        <w:t xml:space="preserve"> Económica Estatal (ITAEE)</w:t>
      </w:r>
      <w:r>
        <w:rPr>
          <w:rFonts w:ascii="Arial" w:hAnsi="Arial" w:cs="Arial"/>
          <w:b/>
          <w:smallCaps/>
          <w:color w:val="auto"/>
          <w:sz w:val="22"/>
        </w:rPr>
        <w:t xml:space="preserve"> </w:t>
      </w:r>
    </w:p>
    <w:p w:rsidR="00CB1DF1" w:rsidRPr="008E0632" w:rsidRDefault="00CB1DF1" w:rsidP="00CB1DF1">
      <w:pPr>
        <w:pStyle w:val="p02"/>
        <w:keepLines w:val="0"/>
        <w:widowControl w:val="0"/>
        <w:spacing w:before="0"/>
        <w:jc w:val="center"/>
        <w:rPr>
          <w:rFonts w:ascii="Arial" w:hAnsi="Arial" w:cs="Arial"/>
          <w:b/>
          <w:smallCaps/>
          <w:color w:val="auto"/>
          <w:sz w:val="22"/>
          <w:szCs w:val="22"/>
        </w:rPr>
      </w:pPr>
      <w:r>
        <w:rPr>
          <w:rFonts w:ascii="Arial" w:hAnsi="Arial" w:cs="Arial"/>
          <w:b/>
          <w:smallCaps/>
          <w:color w:val="auto"/>
          <w:sz w:val="22"/>
        </w:rPr>
        <w:t xml:space="preserve">durante el segundo trimestre </w:t>
      </w:r>
      <w:r w:rsidRPr="006F056B">
        <w:rPr>
          <w:rFonts w:ascii="Arial" w:hAnsi="Arial" w:cs="Arial"/>
          <w:b/>
          <w:smallCaps/>
          <w:color w:val="auto"/>
          <w:sz w:val="22"/>
          <w:szCs w:val="22"/>
        </w:rPr>
        <w:t xml:space="preserve">de </w:t>
      </w:r>
      <w:r>
        <w:rPr>
          <w:rFonts w:ascii="Arial" w:hAnsi="Arial" w:cs="Arial"/>
          <w:b/>
          <w:smallCaps/>
          <w:color w:val="auto"/>
          <w:sz w:val="22"/>
          <w:szCs w:val="22"/>
        </w:rPr>
        <w:t>2020</w:t>
      </w:r>
    </w:p>
    <w:tbl>
      <w:tblPr>
        <w:tblStyle w:val="Tablaconcuadrcula"/>
        <w:tblW w:w="84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46"/>
        <w:gridCol w:w="4111"/>
      </w:tblGrid>
      <w:tr w:rsidR="00CB1DF1" w:rsidTr="009C712E">
        <w:trPr>
          <w:jc w:val="center"/>
        </w:trPr>
        <w:tc>
          <w:tcPr>
            <w:tcW w:w="4346" w:type="dxa"/>
            <w:shd w:val="clear" w:color="auto" w:fill="BDD6EE" w:themeFill="accent1" w:themeFillTint="66"/>
          </w:tcPr>
          <w:p w:rsidR="00CB1DF1" w:rsidRPr="000A578B" w:rsidRDefault="00CB1DF1" w:rsidP="009C712E">
            <w:pPr>
              <w:pStyle w:val="p02"/>
              <w:keepLines w:val="0"/>
              <w:widowControl w:val="0"/>
              <w:spacing w:before="120"/>
              <w:ind w:left="127"/>
              <w:jc w:val="center"/>
              <w:rPr>
                <w:rFonts w:ascii="Arial" w:hAnsi="Arial" w:cs="Arial"/>
                <w:color w:val="auto"/>
                <w:sz w:val="18"/>
              </w:rPr>
            </w:pPr>
            <w:r w:rsidRPr="00156EF2">
              <w:rPr>
                <w:rFonts w:ascii="Arial" w:hAnsi="Arial" w:cs="Arial"/>
                <w:color w:val="auto"/>
                <w:sz w:val="18"/>
              </w:rPr>
              <w:t xml:space="preserve">Variación % real respecto al mismo </w:t>
            </w:r>
            <w:r>
              <w:rPr>
                <w:rFonts w:ascii="Arial" w:hAnsi="Arial" w:cs="Arial"/>
                <w:color w:val="auto"/>
                <w:sz w:val="18"/>
              </w:rPr>
              <w:t>trimestre</w:t>
            </w:r>
            <w:r w:rsidRPr="00156EF2">
              <w:rPr>
                <w:rFonts w:ascii="Arial" w:hAnsi="Arial" w:cs="Arial"/>
                <w:color w:val="auto"/>
                <w:sz w:val="18"/>
              </w:rPr>
              <w:t xml:space="preserve"> del año anterior</w:t>
            </w:r>
          </w:p>
        </w:tc>
        <w:tc>
          <w:tcPr>
            <w:tcW w:w="4111" w:type="dxa"/>
            <w:shd w:val="clear" w:color="auto" w:fill="BDD6EE" w:themeFill="accent1" w:themeFillTint="66"/>
          </w:tcPr>
          <w:p w:rsidR="00CB1DF1" w:rsidRDefault="00CB1DF1" w:rsidP="009C712E">
            <w:pPr>
              <w:pStyle w:val="p0"/>
              <w:spacing w:before="120"/>
              <w:ind w:left="127"/>
              <w:jc w:val="center"/>
            </w:pPr>
            <w:r>
              <w:rPr>
                <w:rFonts w:cs="Arial"/>
                <w:sz w:val="18"/>
              </w:rPr>
              <w:t>Contribución a la variación</w:t>
            </w:r>
            <w:r w:rsidRPr="00156EF2">
              <w:rPr>
                <w:rFonts w:cs="Arial"/>
                <w:sz w:val="18"/>
              </w:rPr>
              <w:t xml:space="preserve"> </w:t>
            </w:r>
            <w:r>
              <w:rPr>
                <w:rFonts w:cs="Arial"/>
                <w:sz w:val="18"/>
              </w:rPr>
              <w:t>real del total nacional</w:t>
            </w:r>
            <w:r w:rsidRPr="00962D1C">
              <w:rPr>
                <w:rFonts w:cs="Arial"/>
                <w:sz w:val="18"/>
                <w:vertAlign w:val="superscript"/>
              </w:rPr>
              <w:t>1/</w:t>
            </w:r>
          </w:p>
        </w:tc>
      </w:tr>
      <w:tr w:rsidR="00CB1DF1" w:rsidTr="009C712E">
        <w:tblPrEx>
          <w:tblCellMar>
            <w:left w:w="70" w:type="dxa"/>
            <w:right w:w="70" w:type="dxa"/>
          </w:tblCellMar>
        </w:tblPrEx>
        <w:trPr>
          <w:jc w:val="center"/>
        </w:trPr>
        <w:tc>
          <w:tcPr>
            <w:tcW w:w="4346" w:type="dxa"/>
          </w:tcPr>
          <w:p w:rsidR="00CB1DF1" w:rsidRDefault="00CB1DF1" w:rsidP="009C712E">
            <w:pPr>
              <w:pStyle w:val="p0"/>
              <w:spacing w:before="0"/>
              <w:ind w:left="-116"/>
              <w:jc w:val="center"/>
            </w:pPr>
            <w:r>
              <w:rPr>
                <w:noProof/>
                <w:lang w:val="es-MX" w:eastAsia="es-MX"/>
              </w:rPr>
              <w:drawing>
                <wp:inline distT="0" distB="0" distL="0" distR="0" wp14:anchorId="25418923" wp14:editId="5E36CBA5">
                  <wp:extent cx="2484000" cy="4500000"/>
                  <wp:effectExtent l="57150" t="38100" r="69215" b="91440"/>
                  <wp:docPr id="2" name="Gráfico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111" w:type="dxa"/>
          </w:tcPr>
          <w:p w:rsidR="00CB1DF1" w:rsidRDefault="00CB1DF1" w:rsidP="009C712E">
            <w:pPr>
              <w:pStyle w:val="p0"/>
              <w:spacing w:before="0"/>
              <w:ind w:left="-67" w:right="-74"/>
              <w:jc w:val="center"/>
            </w:pPr>
            <w:r>
              <w:rPr>
                <w:noProof/>
                <w:lang w:val="es-MX" w:eastAsia="es-MX"/>
              </w:rPr>
              <w:drawing>
                <wp:inline distT="0" distB="0" distL="0" distR="0" wp14:anchorId="772F612A" wp14:editId="6FAF7B7F">
                  <wp:extent cx="2484000" cy="4500000"/>
                  <wp:effectExtent l="57150" t="38100" r="69215" b="91440"/>
                  <wp:docPr id="4" name="Gráfico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CB1DF1" w:rsidRDefault="00CB1DF1" w:rsidP="00CB1DF1">
      <w:pPr>
        <w:pStyle w:val="Textoindependiente"/>
        <w:spacing w:before="0"/>
        <w:ind w:left="426" w:right="49" w:hanging="142"/>
        <w:rPr>
          <w:rFonts w:cs="Arial"/>
          <w:color w:val="000000"/>
          <w:sz w:val="16"/>
          <w:szCs w:val="16"/>
        </w:rPr>
      </w:pPr>
      <w:r w:rsidRPr="00E07532">
        <w:rPr>
          <w:rFonts w:cs="Arial"/>
          <w:color w:val="000000"/>
          <w:sz w:val="16"/>
          <w:szCs w:val="16"/>
          <w:vertAlign w:val="superscript"/>
        </w:rPr>
        <w:t>1/</w:t>
      </w:r>
      <w:r>
        <w:rPr>
          <w:rFonts w:cs="Arial"/>
          <w:color w:val="000000"/>
          <w:sz w:val="16"/>
          <w:szCs w:val="16"/>
        </w:rPr>
        <w:t xml:space="preserve"> Las contribuciones se obtienen ponderando las tasas de crecimiento con la participación que cada estado tiene en el indicador total.</w:t>
      </w:r>
    </w:p>
    <w:p w:rsidR="00CB1DF1" w:rsidRPr="00674D2C" w:rsidRDefault="00CB1DF1" w:rsidP="00CB1DF1">
      <w:pPr>
        <w:pStyle w:val="Textoindependiente"/>
        <w:widowControl w:val="0"/>
        <w:spacing w:before="0"/>
        <w:ind w:left="142" w:right="51"/>
        <w:jc w:val="left"/>
        <w:rPr>
          <w:rFonts w:cs="Arial"/>
          <w:color w:val="000000"/>
          <w:sz w:val="16"/>
          <w:szCs w:val="16"/>
        </w:rPr>
      </w:pPr>
      <w:r>
        <w:rPr>
          <w:rFonts w:cs="Arial"/>
          <w:color w:val="000000"/>
          <w:sz w:val="16"/>
          <w:szCs w:val="16"/>
        </w:rPr>
        <w:t xml:space="preserve">    Fuente: INEGI</w:t>
      </w:r>
    </w:p>
    <w:p w:rsidR="00CB1DF1" w:rsidRPr="00030109" w:rsidRDefault="00CB1DF1" w:rsidP="00CB1DF1">
      <w:pPr>
        <w:pStyle w:val="Prrafodelista"/>
        <w:numPr>
          <w:ilvl w:val="0"/>
          <w:numId w:val="14"/>
        </w:numPr>
        <w:spacing w:before="120" w:after="120" w:line="240" w:lineRule="exact"/>
        <w:jc w:val="both"/>
        <w:rPr>
          <w:rFonts w:ascii="Arial" w:eastAsia="Calibri" w:hAnsi="Arial" w:cs="Arial"/>
          <w:b/>
          <w:spacing w:val="-1"/>
          <w:sz w:val="17"/>
          <w:szCs w:val="17"/>
        </w:rPr>
      </w:pPr>
      <w:r w:rsidRPr="00030109">
        <w:rPr>
          <w:rFonts w:ascii="Arial" w:eastAsia="Calibri" w:hAnsi="Arial" w:cs="Arial"/>
          <w:b/>
          <w:spacing w:val="-1"/>
          <w:sz w:val="17"/>
          <w:szCs w:val="17"/>
        </w:rPr>
        <w:lastRenderedPageBreak/>
        <w:t>Autorización e Historia</w:t>
      </w:r>
    </w:p>
    <w:p w:rsidR="00CB1DF1" w:rsidRPr="00030109" w:rsidRDefault="00CB1DF1" w:rsidP="00CB1DF1">
      <w:pPr>
        <w:spacing w:before="120" w:after="120" w:line="240" w:lineRule="exact"/>
        <w:jc w:val="both"/>
        <w:rPr>
          <w:rFonts w:ascii="Arial" w:eastAsia="Calibri" w:hAnsi="Arial" w:cs="Arial"/>
          <w:spacing w:val="-1"/>
          <w:sz w:val="17"/>
          <w:szCs w:val="17"/>
        </w:rPr>
      </w:pPr>
      <w:r w:rsidRPr="00030109">
        <w:rPr>
          <w:rFonts w:ascii="Arial" w:eastAsia="Calibri" w:hAnsi="Arial" w:cs="Arial"/>
          <w:spacing w:val="-1"/>
          <w:sz w:val="17"/>
          <w:szCs w:val="17"/>
        </w:rPr>
        <w:t>El 4 de octubre de 1824 se establece en México la República Federal, la Constitución incluye a Querétaro como Estado de la Federación. Ahora bien, el artículo 1 de la Constitución Política del Estado de Querétaro, establece:</w:t>
      </w:r>
    </w:p>
    <w:p w:rsidR="00CB1DF1" w:rsidRPr="00030109" w:rsidRDefault="00CB1DF1" w:rsidP="00CB1DF1">
      <w:pPr>
        <w:spacing w:before="120" w:after="120" w:line="240" w:lineRule="exact"/>
        <w:ind w:left="1701" w:right="2515"/>
        <w:jc w:val="both"/>
        <w:rPr>
          <w:rFonts w:ascii="Arial" w:eastAsia="Calibri" w:hAnsi="Arial" w:cs="Arial"/>
          <w:i/>
          <w:spacing w:val="-1"/>
          <w:sz w:val="17"/>
          <w:szCs w:val="17"/>
        </w:rPr>
      </w:pPr>
      <w:r w:rsidRPr="00030109">
        <w:rPr>
          <w:rFonts w:ascii="Arial" w:eastAsia="Calibri" w:hAnsi="Arial" w:cs="Arial"/>
          <w:i/>
          <w:spacing w:val="-1"/>
          <w:sz w:val="17"/>
          <w:szCs w:val="17"/>
        </w:rPr>
        <w:t>“El estado de Querétaro es parte integrante de la Federación Mexicana, es libre y autónomo en lo que se refiere a su régimen interno y sólo delega sus facultades en los Poderes Federales, en todo aquello que fije expresamente la constitución Política de los Estado Unidos mexicas”.</w:t>
      </w:r>
    </w:p>
    <w:p w:rsidR="00CB1DF1" w:rsidRPr="00030109" w:rsidRDefault="00CB1DF1" w:rsidP="00CB1DF1">
      <w:pPr>
        <w:spacing w:before="120" w:after="120" w:line="240" w:lineRule="exact"/>
        <w:jc w:val="both"/>
        <w:rPr>
          <w:rFonts w:ascii="Arial" w:eastAsia="Calibri" w:hAnsi="Arial" w:cs="Arial"/>
          <w:spacing w:val="-1"/>
          <w:sz w:val="17"/>
          <w:szCs w:val="17"/>
        </w:rPr>
      </w:pPr>
      <w:r w:rsidRPr="00030109">
        <w:rPr>
          <w:rFonts w:ascii="Arial" w:eastAsia="Calibri" w:hAnsi="Arial" w:cs="Arial"/>
          <w:spacing w:val="-1"/>
          <w:sz w:val="17"/>
          <w:szCs w:val="17"/>
        </w:rPr>
        <w:t>En el artículo 13 del mismo ordenamiento legal, establece:</w:t>
      </w:r>
      <w:r w:rsidRPr="00030109">
        <w:rPr>
          <w:rFonts w:ascii="Arial" w:eastAsia="Calibri" w:hAnsi="Arial" w:cs="Arial"/>
          <w:noProof/>
          <w:spacing w:val="-1"/>
          <w:sz w:val="17"/>
          <w:szCs w:val="17"/>
        </w:rPr>
        <w:t xml:space="preserve"> </w:t>
      </w:r>
    </w:p>
    <w:p w:rsidR="00CB1DF1" w:rsidRPr="00030109" w:rsidRDefault="00CB1DF1" w:rsidP="00CB1DF1">
      <w:pPr>
        <w:spacing w:before="120" w:after="120" w:line="240" w:lineRule="exact"/>
        <w:ind w:left="1701" w:right="2515"/>
        <w:jc w:val="both"/>
        <w:rPr>
          <w:rFonts w:ascii="Arial" w:eastAsia="Calibri" w:hAnsi="Arial" w:cs="Arial"/>
          <w:i/>
          <w:spacing w:val="-1"/>
          <w:sz w:val="17"/>
          <w:szCs w:val="17"/>
        </w:rPr>
      </w:pPr>
      <w:r w:rsidRPr="00030109">
        <w:rPr>
          <w:rFonts w:ascii="Arial" w:eastAsia="Calibri" w:hAnsi="Arial" w:cs="Arial"/>
          <w:i/>
          <w:spacing w:val="-1"/>
          <w:sz w:val="17"/>
          <w:szCs w:val="17"/>
        </w:rPr>
        <w:t>“El Poder Público del Estado se divide para su ejercicio en las funciones: Legislativa, Ejecutiva y Judicial…”</w:t>
      </w:r>
    </w:p>
    <w:p w:rsidR="00CB1DF1" w:rsidRPr="00030109" w:rsidRDefault="00CB1DF1" w:rsidP="00CB1DF1">
      <w:pPr>
        <w:spacing w:before="120" w:after="120" w:line="240" w:lineRule="exact"/>
        <w:jc w:val="both"/>
        <w:rPr>
          <w:rFonts w:ascii="Arial" w:eastAsia="Calibri" w:hAnsi="Arial" w:cs="Arial"/>
          <w:spacing w:val="-1"/>
          <w:sz w:val="17"/>
          <w:szCs w:val="17"/>
        </w:rPr>
      </w:pPr>
      <w:r w:rsidRPr="00030109">
        <w:rPr>
          <w:rFonts w:ascii="Arial" w:eastAsia="Calibri" w:hAnsi="Arial" w:cs="Arial"/>
          <w:spacing w:val="-1"/>
          <w:sz w:val="17"/>
          <w:szCs w:val="17"/>
        </w:rPr>
        <w:t>En el capítulo Cuarto, Sección Tercera del precepto legal antes mencionado, estable las facultades y responsabilidades del Poder Ejecutivo del Estado de Querétaro.</w:t>
      </w:r>
    </w:p>
    <w:p w:rsidR="00CB1DF1" w:rsidRPr="00030109" w:rsidRDefault="00CB1DF1" w:rsidP="00CB1DF1">
      <w:pPr>
        <w:spacing w:before="120" w:after="120" w:line="240" w:lineRule="exact"/>
        <w:jc w:val="both"/>
        <w:rPr>
          <w:rFonts w:ascii="Arial" w:eastAsia="Calibri" w:hAnsi="Arial" w:cs="Arial"/>
          <w:spacing w:val="-1"/>
          <w:sz w:val="17"/>
          <w:szCs w:val="17"/>
        </w:rPr>
      </w:pPr>
      <w:r w:rsidRPr="00030109">
        <w:rPr>
          <w:rFonts w:ascii="Arial" w:eastAsia="Calibri" w:hAnsi="Arial" w:cs="Arial"/>
          <w:spacing w:val="-1"/>
          <w:sz w:val="17"/>
          <w:szCs w:val="17"/>
        </w:rPr>
        <w:t>En lo que se refiere a la estructura del Poder Ejecutivo del Estado de Querétaro, está manifestada en la Ley Orgánica del Poder Ejecutivo del Estado de Querétaro, publicada en el Periódico Oficial del 17 de noviembre del 2008, con última reforma de fecha 9 de abril de 2019.</w:t>
      </w:r>
    </w:p>
    <w:p w:rsidR="00CB1DF1" w:rsidRPr="00030109" w:rsidRDefault="00CB1DF1" w:rsidP="00CB1DF1">
      <w:pPr>
        <w:pStyle w:val="Prrafodelista"/>
        <w:numPr>
          <w:ilvl w:val="0"/>
          <w:numId w:val="14"/>
        </w:numPr>
        <w:spacing w:before="120" w:after="120" w:line="240" w:lineRule="exact"/>
        <w:jc w:val="both"/>
        <w:rPr>
          <w:rFonts w:ascii="Arial" w:eastAsia="Calibri" w:hAnsi="Arial" w:cs="Arial"/>
          <w:b/>
          <w:spacing w:val="-1"/>
          <w:sz w:val="17"/>
          <w:szCs w:val="17"/>
        </w:rPr>
      </w:pPr>
      <w:r w:rsidRPr="00030109">
        <w:rPr>
          <w:rFonts w:ascii="Arial" w:eastAsia="Calibri" w:hAnsi="Arial" w:cs="Arial"/>
          <w:b/>
          <w:spacing w:val="-1"/>
          <w:sz w:val="17"/>
          <w:szCs w:val="17"/>
        </w:rPr>
        <w:t>Organización y Objeto Social</w:t>
      </w:r>
    </w:p>
    <w:p w:rsidR="00CB1DF1" w:rsidRPr="00030109" w:rsidRDefault="00CB1DF1" w:rsidP="00CB1DF1">
      <w:pPr>
        <w:spacing w:before="120" w:after="120" w:line="240" w:lineRule="exact"/>
        <w:jc w:val="both"/>
        <w:rPr>
          <w:rFonts w:ascii="Arial" w:eastAsia="Calibri" w:hAnsi="Arial" w:cs="Arial"/>
          <w:spacing w:val="-1"/>
          <w:sz w:val="17"/>
          <w:szCs w:val="17"/>
        </w:rPr>
      </w:pPr>
      <w:r w:rsidRPr="00030109">
        <w:rPr>
          <w:rFonts w:ascii="Arial" w:eastAsia="Calibri" w:hAnsi="Arial" w:cs="Arial"/>
          <w:spacing w:val="-1"/>
          <w:sz w:val="17"/>
          <w:szCs w:val="17"/>
        </w:rPr>
        <w:t>En conformidad a la Constitución Política del Estado de Querétaro en su artículo 2, una de las funciones del Poder Ejecutivo del Estado de Querétaro, como parte integrante del Gobierno del Estado de Querétaro, es:</w:t>
      </w:r>
    </w:p>
    <w:p w:rsidR="00CB1DF1" w:rsidRPr="00030109" w:rsidRDefault="00CB1DF1" w:rsidP="00CB1DF1">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t>“El Estado garantizará el respeto y protección a la persona y a los derechos humanos, promoverá su defensa y proveerá las condiciones necesarias para su ejercicio de conformidad con los principios de universalidad, interdependencia, indivisibilidad y progresividad. En consecuencia, deberá prevenir, investigar, sancionar y reparar las violaciones a los derechos humanos y generar acciones afirmativas a favor de las personas en situación de vulnerabilidad, en los términos que establezca la ley…</w:t>
      </w:r>
    </w:p>
    <w:p w:rsidR="00CB1DF1" w:rsidRPr="00030109" w:rsidRDefault="00CB1DF1" w:rsidP="00CB1DF1">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t>El Estado respeta, reconoce, protege y garantiza el derecho a la vida de todo ser humano, desde el momento de la fecundación, como un bien jurídico tutelado y se le reputa como nacido para todos los efectos legales correspondientes, hasta la muerte. Esta disposición no deroga las excusas absolutorias ya contempladas en la legislación penal.</w:t>
      </w:r>
    </w:p>
    <w:p w:rsidR="00CB1DF1" w:rsidRPr="00030109" w:rsidRDefault="00CB1DF1" w:rsidP="00CB1DF1">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t xml:space="preserve">Las autoridades del Estado salvaguardarán el régimen de los derechos y libertades de todas las personas, por el sólo hecho de encontrarse en el territorio estatal. Los derechos humanos no podrán ser limitados o restringidos; en su interpretación se resolverá siempre a favor del gobernado.” </w:t>
      </w:r>
    </w:p>
    <w:p w:rsidR="00CB1DF1" w:rsidRPr="00030109" w:rsidRDefault="00CB1DF1" w:rsidP="00CB1DF1">
      <w:pPr>
        <w:spacing w:before="120" w:after="120" w:line="240" w:lineRule="exact"/>
        <w:jc w:val="both"/>
        <w:rPr>
          <w:rFonts w:ascii="Arial" w:eastAsia="Calibri" w:hAnsi="Arial" w:cs="Arial"/>
          <w:spacing w:val="-1"/>
          <w:sz w:val="17"/>
          <w:szCs w:val="17"/>
        </w:rPr>
      </w:pPr>
      <w:r w:rsidRPr="00030109">
        <w:rPr>
          <w:rFonts w:ascii="Arial" w:eastAsia="Calibri" w:hAnsi="Arial" w:cs="Arial"/>
          <w:spacing w:val="-1"/>
          <w:sz w:val="17"/>
          <w:szCs w:val="17"/>
        </w:rPr>
        <w:t>De la misma manera en el artículo 3, se establece que:</w:t>
      </w:r>
    </w:p>
    <w:p w:rsidR="00CB1DF1" w:rsidRPr="00030109" w:rsidRDefault="00CB1DF1" w:rsidP="00CB1DF1">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t>“Las autoridades estatales… promoverán la integración, el desarrollo y el fortalecimiento de la familia; sus fines de unidad, convivencia armónica, ayuda mutua y la preservación de los valores de la comunidad. La ley impondrá derechos y obligaciones recíprocos entre sus integrantes.</w:t>
      </w:r>
    </w:p>
    <w:p w:rsidR="00CB1DF1" w:rsidRPr="00030109" w:rsidRDefault="00CB1DF1" w:rsidP="00CB1DF1">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t>El Estado adoptará medidas que garanticen la no discriminación del individuo y propicien el desarrollo físico, emocional y mental de los menores, de los jóvenes y de todos aquellos que por circunstancias particulares lo requieran. Establecerá un sistema permanente de tutela, apoyo e integración social de los adultos mayores y de las personas discapacitadas que se encuentren en condiciones de desventaja física, mental, social o económica, para facilitarles una vida de mayor calidad, digna, decorosa y su pleno desarrollo…</w:t>
      </w:r>
    </w:p>
    <w:p w:rsidR="00CB1DF1" w:rsidRPr="00030109" w:rsidRDefault="00CB1DF1" w:rsidP="00CB1DF1">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lastRenderedPageBreak/>
        <w:t>A fin de evitar las enfermedades de origen alimentario, el Estado deberá implementar las medidas que propicien la adquisición de buenos hábitos alimenticios entre la población, fomentará la producción y el consumo de alimentos con alto valor nutricional y apoyará en esta materia a los sectores más vulnerables de la población…</w:t>
      </w:r>
    </w:p>
    <w:p w:rsidR="00CB1DF1" w:rsidRPr="00030109" w:rsidRDefault="00CB1DF1" w:rsidP="00CB1DF1">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t>El Estado… impulsará el fomento, la organización y la promoción de las actividades formativas, recreativas y competitivas del deporte en la Entidad…</w:t>
      </w:r>
    </w:p>
    <w:p w:rsidR="00CB1DF1" w:rsidRPr="00030109" w:rsidRDefault="00CB1DF1" w:rsidP="00CB1DF1">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t>En el Estado de Querétaro el Gobierno se sustenta en el valor de la ética, por lo que todos los entes Públicos cuentan con un Código de Ética, mediante el establecimiento de una adecuada política, la creación de un comité de ética formalmente constituida y de la realización de la capacitación y difusión en dicho valor.”</w:t>
      </w:r>
    </w:p>
    <w:p w:rsidR="00CB1DF1" w:rsidRPr="00030109" w:rsidRDefault="00CB1DF1" w:rsidP="00CB1DF1">
      <w:pPr>
        <w:spacing w:before="120" w:after="120" w:line="240" w:lineRule="exact"/>
        <w:jc w:val="both"/>
        <w:rPr>
          <w:rFonts w:ascii="Arial" w:eastAsia="Calibri" w:hAnsi="Arial" w:cs="Arial"/>
          <w:spacing w:val="-1"/>
          <w:sz w:val="17"/>
          <w:szCs w:val="17"/>
        </w:rPr>
      </w:pPr>
      <w:r w:rsidRPr="00030109">
        <w:rPr>
          <w:rFonts w:ascii="Arial" w:eastAsia="Calibri" w:hAnsi="Arial" w:cs="Arial"/>
          <w:spacing w:val="-1"/>
          <w:sz w:val="17"/>
          <w:szCs w:val="17"/>
        </w:rPr>
        <w:t>Asimismo, en el artículo 4, menciona lo siguiente:</w:t>
      </w:r>
    </w:p>
    <w:p w:rsidR="00CB1DF1" w:rsidRPr="00030109" w:rsidRDefault="00CB1DF1" w:rsidP="00CB1DF1">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t>“La educación que se imparta en el Estado, promoverá el conocimiento de su geografía, cultura, derechos humanos, características sociales y económicas, valores arqueológicos, históricos y artísticos, tradiciones, lenguas y creencias de los grupos indígenas y el papel de estos en la historia e identidad de los queretanos y de la Nación Mexicana.</w:t>
      </w:r>
    </w:p>
    <w:p w:rsidR="00CB1DF1" w:rsidRPr="00030109" w:rsidRDefault="00CB1DF1" w:rsidP="00CB1DF1">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t>El Sistema Educativo Estatal estará orientado a exaltar los valores universales cívicos y democráticos del hombre; a propiciar el conocimiento, la defensa y respeto a los derechos humanos; a fomentar la cultura de la legalidad, el trabajo productivo para una convivencia social armónica y promover el desarrollo de la ciencia, la tecnología y la innovación. Se reconoce la autonomía de la universidad pública en los términos que la ley establezca. Se promoverá y se atenderá la educación superior necesaria para el desarrollo del Estado, destinando el subsidio suficiente y oportuno para el cumplimiento eficaz de sus fines.</w:t>
      </w:r>
    </w:p>
    <w:p w:rsidR="00CB1DF1" w:rsidRPr="00030109" w:rsidRDefault="00CB1DF1" w:rsidP="00CB1DF1">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t>La cultura de los queretanos constituye un bien irrenunciable y un derecho fundamental. Las leyes protegerán el patrimonio y las manifestaciones culturales; las autoridades, con la participación responsable de la sociedad, promoverán el rescate, la preservación, el fortalecimiento, la protección, la restauración y la difusión del patrimonio cultural que define al pueblo queretano, mismo que es inalienable e imprescriptible.”</w:t>
      </w:r>
    </w:p>
    <w:p w:rsidR="00CB1DF1" w:rsidRPr="00030109" w:rsidRDefault="00CB1DF1" w:rsidP="00CB1DF1">
      <w:pPr>
        <w:spacing w:before="120" w:after="120" w:line="240" w:lineRule="exact"/>
        <w:jc w:val="both"/>
        <w:rPr>
          <w:rFonts w:ascii="Arial" w:eastAsia="Calibri" w:hAnsi="Arial" w:cs="Arial"/>
          <w:spacing w:val="-1"/>
          <w:sz w:val="17"/>
          <w:szCs w:val="17"/>
        </w:rPr>
      </w:pPr>
      <w:r w:rsidRPr="00030109">
        <w:rPr>
          <w:rFonts w:ascii="Arial" w:eastAsia="Calibri" w:hAnsi="Arial" w:cs="Arial"/>
          <w:spacing w:val="-1"/>
          <w:sz w:val="17"/>
          <w:szCs w:val="17"/>
        </w:rPr>
        <w:t>Por su parte el artículo 5, se establece que:</w:t>
      </w:r>
    </w:p>
    <w:p w:rsidR="00CB1DF1" w:rsidRPr="00030109" w:rsidRDefault="00CB1DF1" w:rsidP="00CB1DF1">
      <w:pPr>
        <w:spacing w:before="120" w:after="120" w:line="240" w:lineRule="exact"/>
        <w:ind w:left="1701" w:right="2231"/>
        <w:jc w:val="both"/>
        <w:rPr>
          <w:rFonts w:ascii="Arial" w:eastAsia="Calibri" w:hAnsi="Arial" w:cs="Arial"/>
          <w:i/>
          <w:spacing w:val="-1"/>
          <w:sz w:val="17"/>
          <w:szCs w:val="17"/>
        </w:rPr>
      </w:pPr>
      <w:r w:rsidRPr="00030109">
        <w:rPr>
          <w:rFonts w:ascii="Arial" w:eastAsia="Calibri" w:hAnsi="Arial" w:cs="Arial"/>
          <w:i/>
          <w:spacing w:val="-1"/>
          <w:sz w:val="17"/>
          <w:szCs w:val="17"/>
        </w:rPr>
        <w:t>“Toda persona tiene derecho a un medio ambiente adecuado para su desarrollo y bienestar integral; es obligación de las autoridades y de los habitantes protegerlo.</w:t>
      </w:r>
    </w:p>
    <w:p w:rsidR="00CB1DF1" w:rsidRPr="00030109" w:rsidRDefault="00CB1DF1" w:rsidP="00CB1DF1">
      <w:pPr>
        <w:spacing w:before="120" w:after="120" w:line="240" w:lineRule="exact"/>
        <w:ind w:left="1701" w:right="2231"/>
        <w:jc w:val="both"/>
        <w:rPr>
          <w:rFonts w:ascii="Arial" w:eastAsia="Calibri" w:hAnsi="Arial" w:cs="Arial"/>
          <w:i/>
          <w:spacing w:val="-1"/>
          <w:sz w:val="17"/>
          <w:szCs w:val="17"/>
        </w:rPr>
      </w:pPr>
      <w:r w:rsidRPr="00030109">
        <w:rPr>
          <w:rFonts w:ascii="Arial" w:eastAsia="Calibri" w:hAnsi="Arial" w:cs="Arial"/>
          <w:i/>
          <w:spacing w:val="-1"/>
          <w:sz w:val="17"/>
          <w:szCs w:val="17"/>
        </w:rPr>
        <w:t>La protección, la conservación, la restauración y la sustentabilidad de los recursos naturales serán tareas prioritarias del Estado.”</w:t>
      </w:r>
    </w:p>
    <w:p w:rsidR="00CB1DF1" w:rsidRPr="00030109" w:rsidRDefault="00CB1DF1" w:rsidP="00CB1DF1">
      <w:pPr>
        <w:spacing w:before="120" w:after="120" w:line="240" w:lineRule="exact"/>
        <w:jc w:val="both"/>
        <w:rPr>
          <w:rFonts w:ascii="Arial" w:eastAsia="Calibri" w:hAnsi="Arial" w:cs="Arial"/>
          <w:spacing w:val="-1"/>
          <w:sz w:val="17"/>
          <w:szCs w:val="17"/>
        </w:rPr>
      </w:pPr>
      <w:r w:rsidRPr="00030109">
        <w:rPr>
          <w:rFonts w:ascii="Arial" w:eastAsia="Calibri" w:hAnsi="Arial" w:cs="Arial"/>
          <w:spacing w:val="-1"/>
          <w:sz w:val="17"/>
          <w:szCs w:val="17"/>
        </w:rPr>
        <w:t>Por último, en el artículo 6 se señala que:</w:t>
      </w:r>
    </w:p>
    <w:p w:rsidR="00CB1DF1" w:rsidRPr="00030109" w:rsidRDefault="00CB1DF1" w:rsidP="00CB1DF1">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t>“Toda persona tiene derecho a acceder de forma libre y universal a Internet y a las tecnologías de la información y la comunicación.</w:t>
      </w:r>
    </w:p>
    <w:p w:rsidR="00CB1DF1" w:rsidRPr="00030109" w:rsidRDefault="00CB1DF1" w:rsidP="00CB1DF1">
      <w:pPr>
        <w:tabs>
          <w:tab w:val="left" w:pos="11340"/>
        </w:tabs>
        <w:spacing w:before="120" w:after="120" w:line="240" w:lineRule="exact"/>
        <w:ind w:left="1701" w:right="1948"/>
        <w:jc w:val="both"/>
        <w:rPr>
          <w:rFonts w:ascii="Arial" w:eastAsia="Calibri" w:hAnsi="Arial" w:cs="Arial"/>
          <w:i/>
          <w:spacing w:val="-1"/>
          <w:sz w:val="17"/>
          <w:szCs w:val="17"/>
        </w:rPr>
      </w:pPr>
      <w:r w:rsidRPr="00030109">
        <w:rPr>
          <w:rFonts w:ascii="Arial" w:eastAsia="Calibri" w:hAnsi="Arial" w:cs="Arial"/>
          <w:i/>
          <w:spacing w:val="-1"/>
          <w:sz w:val="17"/>
          <w:szCs w:val="17"/>
        </w:rPr>
        <w:t>El Estado está obligado a implementar las políticas necesarias para hacer efectivo este derecho, en los términos establecidos por la Ley.”</w:t>
      </w:r>
    </w:p>
    <w:p w:rsidR="00CB1DF1" w:rsidRPr="00030109" w:rsidRDefault="00CB1DF1" w:rsidP="00CB1DF1">
      <w:pPr>
        <w:spacing w:before="120" w:after="120" w:line="240" w:lineRule="exact"/>
        <w:jc w:val="both"/>
        <w:rPr>
          <w:rFonts w:ascii="Arial" w:eastAsia="Calibri" w:hAnsi="Arial" w:cs="Arial"/>
          <w:spacing w:val="-1"/>
          <w:sz w:val="17"/>
          <w:szCs w:val="17"/>
        </w:rPr>
      </w:pPr>
      <w:r w:rsidRPr="00030109">
        <w:rPr>
          <w:rFonts w:ascii="Arial" w:eastAsia="Calibri" w:hAnsi="Arial" w:cs="Arial"/>
          <w:spacing w:val="-1"/>
          <w:sz w:val="17"/>
          <w:szCs w:val="17"/>
        </w:rPr>
        <w:lastRenderedPageBreak/>
        <w:t>Para el desarrollo de las actividades realizadas por el Poder Ejecutivo del Estado de Querétaro, éstas se encuentran delimitadas en la Ley Orgánica del Poder Ejecutivo del Estado de Querétaro, en la que se establece su estructura organizacional. Asimismo, para la realización de los diversos programas y actividades de gobierno, el ejercicio fiscal 2020 contempla el periodo del 1 de enero al 31 de diciembre del 2020.</w:t>
      </w:r>
    </w:p>
    <w:p w:rsidR="00CB1DF1" w:rsidRPr="002302DE" w:rsidRDefault="00CB1DF1" w:rsidP="00CB1DF1">
      <w:pPr>
        <w:spacing w:before="120" w:after="120" w:line="240" w:lineRule="exact"/>
        <w:jc w:val="both"/>
        <w:rPr>
          <w:rFonts w:ascii="Arial" w:eastAsia="Calibri" w:hAnsi="Arial" w:cs="Arial"/>
          <w:spacing w:val="-1"/>
          <w:sz w:val="17"/>
          <w:szCs w:val="17"/>
        </w:rPr>
      </w:pPr>
      <w:r w:rsidRPr="00030109">
        <w:rPr>
          <w:rFonts w:ascii="Arial" w:eastAsia="Calibri" w:hAnsi="Arial" w:cs="Arial"/>
          <w:spacing w:val="-1"/>
          <w:sz w:val="17"/>
          <w:szCs w:val="17"/>
        </w:rPr>
        <w:t>En cuanto a las obligaciones fiscales del Poder Ejecutivo del Estado de Querétaro, se encuentran establecidos en los diversos ordenamientos legales fiscales tanto de ámbito federal, así como en el aspecto local.</w:t>
      </w:r>
    </w:p>
    <w:p w:rsidR="00CB1DF1" w:rsidRDefault="00CB1DF1" w:rsidP="00CB1DF1">
      <w:pPr>
        <w:spacing w:before="120" w:after="120" w:line="240" w:lineRule="exact"/>
        <w:jc w:val="both"/>
        <w:rPr>
          <w:rFonts w:ascii="Arial" w:eastAsia="Calibri" w:hAnsi="Arial" w:cs="Arial"/>
          <w:spacing w:val="-1"/>
          <w:sz w:val="17"/>
          <w:szCs w:val="17"/>
        </w:rPr>
      </w:pPr>
    </w:p>
    <w:p w:rsidR="00CB1DF1" w:rsidRPr="00A67440" w:rsidRDefault="00CB1DF1" w:rsidP="00CB1DF1">
      <w:pPr>
        <w:pStyle w:val="Prrafodelista"/>
        <w:numPr>
          <w:ilvl w:val="0"/>
          <w:numId w:val="14"/>
        </w:numPr>
        <w:spacing w:before="120" w:after="120" w:line="240" w:lineRule="exact"/>
        <w:jc w:val="both"/>
        <w:rPr>
          <w:rFonts w:ascii="Arial" w:eastAsia="Calibri" w:hAnsi="Arial" w:cs="Arial"/>
          <w:b/>
          <w:spacing w:val="-1"/>
          <w:sz w:val="17"/>
          <w:szCs w:val="17"/>
        </w:rPr>
      </w:pPr>
      <w:r w:rsidRPr="00A67440">
        <w:rPr>
          <w:rFonts w:ascii="Arial" w:eastAsia="Calibri" w:hAnsi="Arial" w:cs="Arial"/>
          <w:b/>
          <w:spacing w:val="-1"/>
          <w:sz w:val="17"/>
          <w:szCs w:val="17"/>
        </w:rPr>
        <w:t>Bases de Preparación de los Estados Financieros</w:t>
      </w:r>
    </w:p>
    <w:p w:rsidR="00CB1DF1" w:rsidRPr="00F50AC7" w:rsidRDefault="00CB1DF1" w:rsidP="00CB1DF1">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Para la preparación de los presentes Estados Financieros, se han elaborado en apego a la normatividad y lineamientos vigentes, emitidos a la fecha por el Consejo Nacional de Armonización Contable (CONAC).</w:t>
      </w:r>
    </w:p>
    <w:p w:rsidR="00CB1DF1" w:rsidRPr="00F50AC7" w:rsidRDefault="00CB1DF1" w:rsidP="00CB1DF1">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Asimismo, en lo referente a la valuación y revelación de diversos rubros de la información financiera, se ha considerado lo establecido en las “</w:t>
      </w:r>
      <w:r w:rsidRPr="00F50AC7">
        <w:rPr>
          <w:rFonts w:ascii="Arial" w:eastAsia="Calibri" w:hAnsi="Arial" w:cs="Arial"/>
          <w:b/>
          <w:spacing w:val="-1"/>
          <w:sz w:val="17"/>
          <w:szCs w:val="17"/>
        </w:rPr>
        <w:t>Principales Reglas de Registro y Valoración del Patrimonio (Elementos Generales)</w:t>
      </w:r>
      <w:r w:rsidRPr="00F50AC7">
        <w:rPr>
          <w:rFonts w:ascii="Arial" w:eastAsia="Calibri" w:hAnsi="Arial" w:cs="Arial"/>
          <w:spacing w:val="-1"/>
          <w:sz w:val="17"/>
          <w:szCs w:val="17"/>
        </w:rPr>
        <w:t>” así como en las “</w:t>
      </w:r>
      <w:r w:rsidRPr="00F50AC7">
        <w:rPr>
          <w:rFonts w:ascii="Arial" w:eastAsia="Calibri" w:hAnsi="Arial" w:cs="Arial"/>
          <w:b/>
          <w:spacing w:val="-1"/>
          <w:sz w:val="17"/>
          <w:szCs w:val="17"/>
        </w:rPr>
        <w:t>Reglas Específicas de Registro y Valoración del Patrimonio</w:t>
      </w:r>
      <w:r w:rsidRPr="00F50AC7">
        <w:rPr>
          <w:rFonts w:ascii="Arial" w:eastAsia="Calibri" w:hAnsi="Arial" w:cs="Arial"/>
          <w:spacing w:val="-1"/>
          <w:sz w:val="17"/>
          <w:szCs w:val="17"/>
        </w:rPr>
        <w:t>”, ambas emitidas por el CONAC, tomando como base de medición para la elaboración de los estados financieros el costo histórico, dado que es el monto pagado de efectivo o equivalentes por un activo o servicio al momento de su adquisición.</w:t>
      </w:r>
    </w:p>
    <w:p w:rsidR="00CB1DF1" w:rsidRPr="00F50AC7" w:rsidRDefault="00CB1DF1" w:rsidP="00CB1DF1">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En lo refer</w:t>
      </w:r>
      <w:r>
        <w:rPr>
          <w:rFonts w:ascii="Arial" w:eastAsia="Calibri" w:hAnsi="Arial" w:cs="Arial"/>
          <w:spacing w:val="-1"/>
          <w:sz w:val="17"/>
          <w:szCs w:val="17"/>
        </w:rPr>
        <w:t>ente a los postulados básicos, é</w:t>
      </w:r>
      <w:r w:rsidRPr="00F50AC7">
        <w:rPr>
          <w:rFonts w:ascii="Arial" w:eastAsia="Calibri" w:hAnsi="Arial" w:cs="Arial"/>
          <w:spacing w:val="-1"/>
          <w:sz w:val="17"/>
          <w:szCs w:val="17"/>
        </w:rPr>
        <w:t>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 del Poder Ejecutivo del Estado de Querétaro.</w:t>
      </w:r>
    </w:p>
    <w:p w:rsidR="00CB1DF1" w:rsidRDefault="00CB1DF1" w:rsidP="00CB1DF1">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 xml:space="preserve">Para el caso </w:t>
      </w:r>
      <w:r w:rsidRPr="003E1E44">
        <w:rPr>
          <w:rFonts w:ascii="Arial" w:eastAsia="Calibri" w:hAnsi="Arial" w:cs="Arial"/>
          <w:spacing w:val="-1"/>
          <w:sz w:val="17"/>
          <w:szCs w:val="17"/>
        </w:rPr>
        <w:t>del presente Informe</w:t>
      </w:r>
      <w:r>
        <w:rPr>
          <w:rFonts w:ascii="Arial" w:eastAsia="Calibri" w:hAnsi="Arial" w:cs="Arial"/>
          <w:spacing w:val="-1"/>
          <w:sz w:val="17"/>
          <w:szCs w:val="17"/>
        </w:rPr>
        <w:t xml:space="preserve"> del Poder Ejecutivo</w:t>
      </w:r>
      <w:r w:rsidRPr="00F50AC7">
        <w:rPr>
          <w:rFonts w:ascii="Arial" w:eastAsia="Calibri" w:hAnsi="Arial" w:cs="Arial"/>
          <w:spacing w:val="-1"/>
          <w:sz w:val="17"/>
          <w:szCs w:val="17"/>
        </w:rPr>
        <w:t xml:space="preserve"> del Estado de Querétaro, no se ha aplicado alguna Normatividad Supletoria.</w:t>
      </w:r>
    </w:p>
    <w:p w:rsidR="00CB1DF1" w:rsidRPr="00A67440" w:rsidRDefault="00CB1DF1" w:rsidP="00CB1DF1">
      <w:pPr>
        <w:spacing w:before="120" w:after="120" w:line="240" w:lineRule="exact"/>
        <w:jc w:val="both"/>
        <w:rPr>
          <w:rFonts w:ascii="Arial" w:eastAsia="Calibri" w:hAnsi="Arial" w:cs="Arial"/>
          <w:spacing w:val="-1"/>
          <w:sz w:val="17"/>
          <w:szCs w:val="17"/>
        </w:rPr>
      </w:pPr>
    </w:p>
    <w:p w:rsidR="00CB1DF1" w:rsidRPr="00A67440" w:rsidRDefault="00CB1DF1" w:rsidP="00CB1DF1">
      <w:pPr>
        <w:pStyle w:val="Prrafodelista"/>
        <w:numPr>
          <w:ilvl w:val="0"/>
          <w:numId w:val="14"/>
        </w:numPr>
        <w:spacing w:before="120" w:after="120" w:line="240" w:lineRule="exact"/>
        <w:jc w:val="both"/>
        <w:rPr>
          <w:rFonts w:ascii="Arial" w:eastAsia="Calibri" w:hAnsi="Arial" w:cs="Arial"/>
          <w:b/>
          <w:spacing w:val="-1"/>
          <w:sz w:val="17"/>
          <w:szCs w:val="17"/>
        </w:rPr>
      </w:pPr>
      <w:r w:rsidRPr="00A67440">
        <w:rPr>
          <w:rFonts w:ascii="Arial" w:eastAsia="Calibri" w:hAnsi="Arial" w:cs="Arial"/>
          <w:b/>
          <w:spacing w:val="-1"/>
          <w:sz w:val="17"/>
          <w:szCs w:val="17"/>
        </w:rPr>
        <w:t>Políticas de Contabilidad Significativas</w:t>
      </w:r>
    </w:p>
    <w:p w:rsidR="00CB1DF1" w:rsidRPr="00F50AC7" w:rsidRDefault="00CB1DF1" w:rsidP="00CB1DF1">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En cuanto a las políticas contables, se comenta lo siguiente:</w:t>
      </w:r>
    </w:p>
    <w:p w:rsidR="00CB1DF1" w:rsidRPr="00F50AC7" w:rsidRDefault="00CB1DF1" w:rsidP="00CB1DF1">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Atendiendo a lo estipulado en las “</w:t>
      </w:r>
      <w:r w:rsidRPr="00F50AC7">
        <w:rPr>
          <w:rFonts w:ascii="Arial" w:eastAsia="Calibri" w:hAnsi="Arial" w:cs="Arial"/>
          <w:b/>
          <w:spacing w:val="-1"/>
          <w:sz w:val="17"/>
          <w:szCs w:val="17"/>
        </w:rPr>
        <w:t>Reglas Específicas de Registro y Valoración del Patrimonio</w:t>
      </w:r>
      <w:r w:rsidRPr="00F50AC7">
        <w:rPr>
          <w:rFonts w:ascii="Arial" w:eastAsia="Calibri" w:hAnsi="Arial" w:cs="Arial"/>
          <w:spacing w:val="-1"/>
          <w:sz w:val="17"/>
          <w:szCs w:val="17"/>
        </w:rPr>
        <w:t>”, que refiere a que el Índice Nacional de Precios al Consumidor acumulado durante un periodo de tres años sea igual o superior al 100%, a la fecha de la emisión de</w:t>
      </w:r>
      <w:r>
        <w:rPr>
          <w:rFonts w:ascii="Arial" w:eastAsia="Calibri" w:hAnsi="Arial" w:cs="Arial"/>
          <w:spacing w:val="-1"/>
          <w:sz w:val="17"/>
          <w:szCs w:val="17"/>
        </w:rPr>
        <w:t>l Informe</w:t>
      </w:r>
      <w:r w:rsidRPr="00F50AC7">
        <w:rPr>
          <w:rFonts w:ascii="Arial" w:eastAsia="Calibri" w:hAnsi="Arial" w:cs="Arial"/>
          <w:spacing w:val="-1"/>
          <w:sz w:val="17"/>
          <w:szCs w:val="17"/>
        </w:rPr>
        <w:t>, no ha excedido del tal porcentaje, por lo cual no se ha realizado actualización alguna en ningún rubro del activo, pasivo y hacienda pública.</w:t>
      </w:r>
    </w:p>
    <w:p w:rsidR="00CB1DF1" w:rsidRPr="00F50AC7" w:rsidRDefault="00CB1DF1" w:rsidP="00CB1DF1">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Asimismo, el Poder Ejecutivo del Estado de Querétaro, no ha efectuado operaciones en el extranjero y no ha tenido efecto alguno en la información financiera gubernamental.</w:t>
      </w:r>
    </w:p>
    <w:p w:rsidR="00CB1DF1" w:rsidRPr="00F50AC7" w:rsidRDefault="00CB1DF1" w:rsidP="00CB1DF1">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De la misma manera no existen acciones de Compañías subsidiarias no consolidadas y asociadas. No se tiene una actividad comercial, por lo que no existe Sistema y método de valuación de inventarios y costo de lo vendido.</w:t>
      </w:r>
    </w:p>
    <w:p w:rsidR="00CB1DF1" w:rsidRPr="00F50AC7" w:rsidRDefault="00CB1DF1" w:rsidP="00CB1DF1">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 xml:space="preserve">En cuanto a las políticas para el cálculo de la reserva actuarial, </w:t>
      </w:r>
      <w:r>
        <w:rPr>
          <w:rFonts w:ascii="Arial" w:eastAsia="Calibri" w:hAnsi="Arial" w:cs="Arial"/>
          <w:spacing w:val="-1"/>
          <w:sz w:val="17"/>
          <w:szCs w:val="17"/>
        </w:rPr>
        <w:t>é</w:t>
      </w:r>
      <w:r w:rsidRPr="00F50AC7">
        <w:rPr>
          <w:rFonts w:ascii="Arial" w:eastAsia="Calibri" w:hAnsi="Arial" w:cs="Arial"/>
          <w:spacing w:val="-1"/>
          <w:sz w:val="17"/>
          <w:szCs w:val="17"/>
        </w:rPr>
        <w:t xml:space="preserve">stas se encuentran plasmadas en </w:t>
      </w:r>
      <w:r>
        <w:rPr>
          <w:rFonts w:ascii="Arial" w:eastAsia="Calibri" w:hAnsi="Arial" w:cs="Arial"/>
          <w:spacing w:val="-1"/>
          <w:sz w:val="17"/>
          <w:szCs w:val="17"/>
        </w:rPr>
        <w:t>el</w:t>
      </w:r>
      <w:r w:rsidRPr="00F50AC7">
        <w:rPr>
          <w:rFonts w:ascii="Arial" w:eastAsia="Calibri" w:hAnsi="Arial" w:cs="Arial"/>
          <w:spacing w:val="-1"/>
          <w:sz w:val="17"/>
          <w:szCs w:val="17"/>
        </w:rPr>
        <w:t xml:space="preserve"> estudio</w:t>
      </w:r>
      <w:r>
        <w:rPr>
          <w:rFonts w:ascii="Arial" w:eastAsia="Calibri" w:hAnsi="Arial" w:cs="Arial"/>
          <w:spacing w:val="-1"/>
          <w:sz w:val="17"/>
          <w:szCs w:val="17"/>
        </w:rPr>
        <w:t xml:space="preserve"> actuarial realizado al Poder Ejecutivo del Estado de Querétaro</w:t>
      </w:r>
      <w:r w:rsidRPr="00F50AC7">
        <w:rPr>
          <w:rFonts w:ascii="Arial" w:eastAsia="Calibri" w:hAnsi="Arial" w:cs="Arial"/>
          <w:spacing w:val="-1"/>
          <w:sz w:val="17"/>
          <w:szCs w:val="17"/>
        </w:rPr>
        <w:t>.</w:t>
      </w:r>
    </w:p>
    <w:p w:rsidR="00CB1DF1" w:rsidRPr="00F50AC7" w:rsidRDefault="00CB1DF1" w:rsidP="00CB1DF1">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Para el efecto que tiene</w:t>
      </w:r>
      <w:r>
        <w:rPr>
          <w:rFonts w:ascii="Arial" w:eastAsia="Calibri" w:hAnsi="Arial" w:cs="Arial"/>
          <w:spacing w:val="-1"/>
          <w:sz w:val="17"/>
          <w:szCs w:val="17"/>
        </w:rPr>
        <w:t xml:space="preserve"> la</w:t>
      </w:r>
      <w:r w:rsidRPr="00F50AC7">
        <w:rPr>
          <w:rFonts w:ascii="Arial" w:eastAsia="Calibri" w:hAnsi="Arial" w:cs="Arial"/>
          <w:spacing w:val="-1"/>
          <w:sz w:val="17"/>
          <w:szCs w:val="17"/>
        </w:rPr>
        <w:t xml:space="preserve">s </w:t>
      </w:r>
      <w:r>
        <w:rPr>
          <w:rFonts w:ascii="Arial" w:eastAsia="Calibri" w:hAnsi="Arial" w:cs="Arial"/>
          <w:spacing w:val="-1"/>
          <w:sz w:val="17"/>
          <w:szCs w:val="17"/>
        </w:rPr>
        <w:t>correccio</w:t>
      </w:r>
      <w:r w:rsidRPr="00F50AC7">
        <w:rPr>
          <w:rFonts w:ascii="Arial" w:eastAsia="Calibri" w:hAnsi="Arial" w:cs="Arial"/>
          <w:spacing w:val="-1"/>
          <w:sz w:val="17"/>
          <w:szCs w:val="17"/>
        </w:rPr>
        <w:t>n</w:t>
      </w:r>
      <w:r>
        <w:rPr>
          <w:rFonts w:ascii="Arial" w:eastAsia="Calibri" w:hAnsi="Arial" w:cs="Arial"/>
          <w:spacing w:val="-1"/>
          <w:sz w:val="17"/>
          <w:szCs w:val="17"/>
        </w:rPr>
        <w:t>es</w:t>
      </w:r>
      <w:r w:rsidRPr="00F50AC7">
        <w:rPr>
          <w:rFonts w:ascii="Arial" w:eastAsia="Calibri" w:hAnsi="Arial" w:cs="Arial"/>
          <w:spacing w:val="-1"/>
          <w:sz w:val="17"/>
          <w:szCs w:val="17"/>
        </w:rPr>
        <w:t xml:space="preserve"> de errores</w:t>
      </w:r>
      <w:r>
        <w:rPr>
          <w:rFonts w:ascii="Arial" w:eastAsia="Calibri" w:hAnsi="Arial" w:cs="Arial"/>
          <w:spacing w:val="-1"/>
          <w:sz w:val="17"/>
          <w:szCs w:val="17"/>
        </w:rPr>
        <w:t xml:space="preserve"> en la información financiera, é</w:t>
      </w:r>
      <w:r w:rsidRPr="00F50AC7">
        <w:rPr>
          <w:rFonts w:ascii="Arial" w:eastAsia="Calibri" w:hAnsi="Arial" w:cs="Arial"/>
          <w:spacing w:val="-1"/>
          <w:sz w:val="17"/>
          <w:szCs w:val="17"/>
        </w:rPr>
        <w:t>stos son revelados en las Notas de Desglose, en particular en lo que se observa en las Notas al Estado de Variación en la Hacienda Pública.</w:t>
      </w:r>
    </w:p>
    <w:p w:rsidR="00CB1DF1" w:rsidRDefault="00CB1DF1" w:rsidP="00CB1DF1">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 xml:space="preserve">En lo referente a la Depuración y cancelación de saldos, las políticas particulares están contenidas en el Anexo II del Manual de Contabilidad Gubernamental del Poder Ejecutivo del </w:t>
      </w:r>
      <w:r>
        <w:rPr>
          <w:rFonts w:ascii="Arial" w:eastAsia="Calibri" w:hAnsi="Arial" w:cs="Arial"/>
          <w:spacing w:val="-1"/>
          <w:sz w:val="17"/>
          <w:szCs w:val="17"/>
        </w:rPr>
        <w:t>E</w:t>
      </w:r>
      <w:r w:rsidRPr="00F50AC7">
        <w:rPr>
          <w:rFonts w:ascii="Arial" w:eastAsia="Calibri" w:hAnsi="Arial" w:cs="Arial"/>
          <w:spacing w:val="-1"/>
          <w:sz w:val="17"/>
          <w:szCs w:val="17"/>
        </w:rPr>
        <w:t>stado de Querétaro.</w:t>
      </w:r>
    </w:p>
    <w:p w:rsidR="00CB1DF1" w:rsidRPr="00D87310" w:rsidRDefault="00CB1DF1" w:rsidP="00CB1DF1">
      <w:p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lastRenderedPageBreak/>
        <w:t>Se informa que a lo largo del ejercicio se ha realizado el análisis de la cuenta obras en proceso a tal efecto de presentar el saldo depurado en esta cuenta quedando reflejado el monto de las o</w:t>
      </w:r>
      <w:r w:rsidRPr="00D87310">
        <w:rPr>
          <w:rFonts w:ascii="Arial" w:eastAsia="Calibri" w:hAnsi="Arial" w:cs="Arial"/>
          <w:spacing w:val="-1"/>
          <w:sz w:val="17"/>
          <w:szCs w:val="17"/>
        </w:rPr>
        <w:t>bras que se encuentran en proceso de ser concluidas.</w:t>
      </w:r>
    </w:p>
    <w:p w:rsidR="00CB1DF1" w:rsidRDefault="00CB1DF1" w:rsidP="00CB1DF1">
      <w:pPr>
        <w:spacing w:before="120" w:after="120" w:line="240" w:lineRule="exact"/>
        <w:jc w:val="both"/>
        <w:rPr>
          <w:rFonts w:ascii="Arial" w:eastAsia="Calibri" w:hAnsi="Arial" w:cs="Arial"/>
          <w:spacing w:val="-1"/>
          <w:sz w:val="17"/>
          <w:szCs w:val="17"/>
        </w:rPr>
      </w:pPr>
      <w:r w:rsidRPr="00941B09">
        <w:rPr>
          <w:rFonts w:ascii="Arial" w:eastAsia="Calibri" w:hAnsi="Arial" w:cs="Arial"/>
          <w:spacing w:val="-1"/>
          <w:sz w:val="17"/>
          <w:szCs w:val="17"/>
        </w:rPr>
        <w:t>El Poder Ejecutivo en apego al artículo 32 de la Ley General de Contabilidad Gubernamental, ha actualizado el valor de la participación que tiene en las Entidades Paraestatales, el cual tuvo como resultado un incremento en el rubro del activo no circulante, así como el respectivo reconocimiento en Otros Ingresos y Beneficios Varios, Otros Gastos y en Rectificaciones de resultados de ejercicios anteriores.</w:t>
      </w:r>
    </w:p>
    <w:p w:rsidR="00CB1DF1" w:rsidRDefault="00CB1DF1" w:rsidP="00CB1DF1">
      <w:pPr>
        <w:rPr>
          <w:rFonts w:ascii="Arial" w:eastAsia="Calibri" w:hAnsi="Arial" w:cs="Arial"/>
          <w:spacing w:val="-1"/>
          <w:sz w:val="17"/>
          <w:szCs w:val="17"/>
        </w:rPr>
      </w:pPr>
    </w:p>
    <w:p w:rsidR="00CB1DF1" w:rsidRPr="00A67440" w:rsidRDefault="00CB1DF1" w:rsidP="00CB1DF1">
      <w:pPr>
        <w:pStyle w:val="Prrafodelista"/>
        <w:numPr>
          <w:ilvl w:val="0"/>
          <w:numId w:val="14"/>
        </w:numPr>
        <w:spacing w:before="120" w:after="120" w:line="240" w:lineRule="exact"/>
        <w:jc w:val="both"/>
        <w:rPr>
          <w:rFonts w:ascii="Arial" w:eastAsia="Calibri" w:hAnsi="Arial" w:cs="Arial"/>
          <w:b/>
          <w:spacing w:val="-1"/>
          <w:sz w:val="17"/>
          <w:szCs w:val="17"/>
        </w:rPr>
      </w:pPr>
      <w:r w:rsidRPr="00A67440">
        <w:rPr>
          <w:rFonts w:ascii="Arial" w:eastAsia="Calibri" w:hAnsi="Arial" w:cs="Arial"/>
          <w:b/>
          <w:spacing w:val="-1"/>
          <w:sz w:val="17"/>
          <w:szCs w:val="17"/>
        </w:rPr>
        <w:t>Posición en Moneda Extranjera y Protección por Riesgo Cambiario</w:t>
      </w:r>
    </w:p>
    <w:p w:rsidR="00CB1DF1" w:rsidRPr="00A67440" w:rsidRDefault="00CB1DF1" w:rsidP="00CB1DF1">
      <w:pPr>
        <w:spacing w:before="120" w:after="120" w:line="240" w:lineRule="exact"/>
        <w:jc w:val="both"/>
        <w:rPr>
          <w:rFonts w:ascii="Arial" w:eastAsia="Calibri" w:hAnsi="Arial" w:cs="Arial"/>
          <w:spacing w:val="-1"/>
          <w:sz w:val="17"/>
          <w:szCs w:val="17"/>
        </w:rPr>
      </w:pPr>
      <w:r w:rsidRPr="00DA3F3D">
        <w:rPr>
          <w:rFonts w:ascii="Arial" w:eastAsia="Calibri" w:hAnsi="Arial" w:cs="Arial"/>
          <w:spacing w:val="-1"/>
          <w:sz w:val="17"/>
          <w:szCs w:val="17"/>
        </w:rPr>
        <w:t>Se informa que no existen posiciones en Moneda Extranjera.</w:t>
      </w:r>
    </w:p>
    <w:p w:rsidR="00CB1DF1" w:rsidRDefault="00CB1DF1" w:rsidP="00CB1DF1">
      <w:pPr>
        <w:spacing w:before="120" w:after="120" w:line="240" w:lineRule="exact"/>
        <w:jc w:val="both"/>
        <w:rPr>
          <w:rFonts w:ascii="Arial" w:eastAsia="Calibri" w:hAnsi="Arial" w:cs="Arial"/>
          <w:spacing w:val="-1"/>
          <w:sz w:val="17"/>
          <w:szCs w:val="17"/>
        </w:rPr>
      </w:pPr>
    </w:p>
    <w:p w:rsidR="00CB1DF1" w:rsidRPr="0010523D" w:rsidRDefault="00CB1DF1" w:rsidP="00CB1DF1">
      <w:pPr>
        <w:pStyle w:val="Prrafodelista"/>
        <w:numPr>
          <w:ilvl w:val="0"/>
          <w:numId w:val="14"/>
        </w:numPr>
        <w:spacing w:before="120" w:after="120" w:line="240" w:lineRule="exact"/>
        <w:jc w:val="both"/>
        <w:rPr>
          <w:rFonts w:ascii="Arial" w:eastAsia="Calibri" w:hAnsi="Arial" w:cs="Arial"/>
          <w:b/>
          <w:spacing w:val="-1"/>
          <w:sz w:val="17"/>
          <w:szCs w:val="17"/>
        </w:rPr>
      </w:pPr>
      <w:r w:rsidRPr="0010523D">
        <w:rPr>
          <w:rFonts w:ascii="Arial" w:eastAsia="Calibri" w:hAnsi="Arial" w:cs="Arial"/>
          <w:b/>
          <w:spacing w:val="-1"/>
          <w:sz w:val="17"/>
          <w:szCs w:val="17"/>
        </w:rPr>
        <w:t>Reporte Analítico del Activo</w:t>
      </w:r>
    </w:p>
    <w:p w:rsidR="00CB1DF1" w:rsidRPr="00DA3F3D" w:rsidRDefault="00CB1DF1" w:rsidP="00CB1DF1">
      <w:pPr>
        <w:spacing w:before="120" w:after="120" w:line="240" w:lineRule="exact"/>
        <w:jc w:val="both"/>
        <w:rPr>
          <w:rFonts w:ascii="Arial" w:eastAsia="Calibri" w:hAnsi="Arial" w:cs="Arial"/>
          <w:spacing w:val="-1"/>
          <w:sz w:val="17"/>
          <w:szCs w:val="17"/>
        </w:rPr>
      </w:pPr>
      <w:r w:rsidRPr="00DA3F3D">
        <w:rPr>
          <w:rFonts w:ascii="Arial" w:eastAsia="Calibri" w:hAnsi="Arial" w:cs="Arial"/>
          <w:spacing w:val="-1"/>
          <w:sz w:val="17"/>
          <w:szCs w:val="17"/>
        </w:rPr>
        <w:t>Para efecto del Estado Analítico del Activo se comenta lo siguiente:</w:t>
      </w:r>
    </w:p>
    <w:p w:rsidR="00CB1DF1" w:rsidRPr="00DA3F3D" w:rsidRDefault="00CB1DF1" w:rsidP="00CB1DF1">
      <w:pPr>
        <w:spacing w:before="120" w:after="120" w:line="240" w:lineRule="exact"/>
        <w:jc w:val="both"/>
        <w:rPr>
          <w:rFonts w:ascii="Arial" w:eastAsia="Calibri" w:hAnsi="Arial" w:cs="Arial"/>
          <w:spacing w:val="-1"/>
          <w:sz w:val="17"/>
          <w:szCs w:val="17"/>
        </w:rPr>
      </w:pPr>
      <w:r w:rsidRPr="00DA3F3D">
        <w:rPr>
          <w:rFonts w:ascii="Arial" w:eastAsia="Calibri" w:hAnsi="Arial" w:cs="Arial"/>
          <w:spacing w:val="-1"/>
          <w:sz w:val="17"/>
          <w:szCs w:val="17"/>
        </w:rPr>
        <w:t>En cuanto a la vida útil, porcentajes</w:t>
      </w:r>
      <w:r>
        <w:rPr>
          <w:rFonts w:ascii="Arial" w:eastAsia="Calibri" w:hAnsi="Arial" w:cs="Arial"/>
          <w:spacing w:val="-1"/>
          <w:sz w:val="17"/>
          <w:szCs w:val="17"/>
        </w:rPr>
        <w:t xml:space="preserve"> de depreciación y amortización </w:t>
      </w:r>
      <w:r w:rsidRPr="00DA3F3D">
        <w:rPr>
          <w:rFonts w:ascii="Arial" w:eastAsia="Calibri" w:hAnsi="Arial" w:cs="Arial"/>
          <w:spacing w:val="-1"/>
          <w:sz w:val="17"/>
          <w:szCs w:val="17"/>
        </w:rPr>
        <w:t>de los diferentes tipos de activos no circulantes, se encuentran revelados en las Notas de Desglose, en particular en las Notas al Estado de Situación Financiera, en el apartado “5 Bienes Muebles, Inmuebles e Intangibles”.</w:t>
      </w:r>
    </w:p>
    <w:p w:rsidR="00CB1DF1" w:rsidRPr="00DA3F3D" w:rsidRDefault="00CB1DF1" w:rsidP="00CB1DF1">
      <w:pPr>
        <w:spacing w:before="120" w:after="120" w:line="240" w:lineRule="exact"/>
        <w:jc w:val="both"/>
        <w:rPr>
          <w:rFonts w:ascii="Arial" w:eastAsia="Calibri" w:hAnsi="Arial" w:cs="Arial"/>
          <w:spacing w:val="-1"/>
          <w:sz w:val="17"/>
          <w:szCs w:val="17"/>
        </w:rPr>
      </w:pPr>
      <w:r w:rsidRPr="00DA3F3D">
        <w:rPr>
          <w:rFonts w:ascii="Arial" w:eastAsia="Calibri" w:hAnsi="Arial" w:cs="Arial"/>
          <w:spacing w:val="-1"/>
          <w:sz w:val="17"/>
          <w:szCs w:val="17"/>
        </w:rPr>
        <w:t>En cuanto al Importe de los gastos capitalizados en el ejercicio, tanto financieros como de investigación y desarrollo; Riesgos por tipo de cambio o tipo de interés de las inversiones financieras; Valor activado en el ejercicio de los bienes construidos por la entidad; Otras circunstancias de carácter significativo que afecten el activo, tales como bienes en garantía, señalados en embargos, litigios, títulos de inversiones entregados en garantías, baja significativa del valor de inversiones financieras, etc.; Desmantelamiento de Activos, procedimientos, implicaciones, efectos contables; Administración de activos; planeación con el objetivo de que el ente los utilice de manera más efectiva no existe información a revelar.</w:t>
      </w:r>
    </w:p>
    <w:p w:rsidR="00FE41FE" w:rsidRPr="00DA3F3D" w:rsidRDefault="00FE41FE" w:rsidP="00CB1DF1">
      <w:pPr>
        <w:spacing w:before="80" w:line="250" w:lineRule="exact"/>
        <w:ind w:left="709"/>
        <w:jc w:val="both"/>
        <w:rPr>
          <w:rFonts w:ascii="Arial" w:eastAsia="Calibri" w:hAnsi="Arial" w:cs="Arial"/>
          <w:spacing w:val="-1"/>
          <w:sz w:val="17"/>
          <w:szCs w:val="17"/>
        </w:rPr>
      </w:pPr>
    </w:p>
    <w:sectPr w:rsidR="00FE41FE" w:rsidRPr="00DA3F3D" w:rsidSect="000C2DE0">
      <w:headerReference w:type="even" r:id="rId14"/>
      <w:headerReference w:type="default" r:id="rId15"/>
      <w:footerReference w:type="even" r:id="rId16"/>
      <w:footerReference w:type="default" r:id="rId17"/>
      <w:type w:val="continuous"/>
      <w:pgSz w:w="15840" w:h="12240" w:orient="landscape" w:code="1"/>
      <w:pgMar w:top="1560" w:right="1418" w:bottom="851" w:left="1134" w:header="851" w:footer="308" w:gutter="0"/>
      <w:paperSrc w:first="258" w:other="258"/>
      <w:pgBorders w:offsetFrom="page">
        <w:top w:val="none" w:sz="0" w:space="13" w:color="000000" w:shadow="1"/>
        <w:left w:val="none" w:sz="0" w:space="0" w:color="000000" w:shadow="1"/>
        <w:bottom w:val="none" w:sz="0" w:space="0" w:color="000000" w:shadow="1"/>
        <w:right w:val="none" w:sz="0" w:space="14" w:color="000000" w:shadow="1"/>
      </w:pgBorders>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BBB" w:rsidRDefault="00E55BBB">
      <w:r>
        <w:separator/>
      </w:r>
    </w:p>
  </w:endnote>
  <w:endnote w:type="continuationSeparator" w:id="0">
    <w:p w:rsidR="00E55BBB" w:rsidRDefault="00E5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urekaSans-Regular">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mSprings">
    <w:altName w:val="Courier New"/>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urekaSans-Light">
    <w:altName w:val="Courier New"/>
    <w:panose1 w:val="00000000000000000000"/>
    <w:charset w:val="00"/>
    <w:family w:val="moder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venir LT Std 45 Book">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617" w:rsidRPr="00CF00D0" w:rsidRDefault="005D7617" w:rsidP="00813029">
    <w:pPr>
      <w:pStyle w:val="Textoindependiente3"/>
      <w:tabs>
        <w:tab w:val="right" w:pos="13288"/>
      </w:tabs>
      <w:rPr>
        <w:rFonts w:ascii="Avenir LT Std 45 Book" w:hAnsi="Avenir LT Std 45 Book" w:cs="Arial"/>
        <w:color w:val="808080"/>
        <w:szCs w:val="20"/>
      </w:rPr>
    </w:pPr>
    <w:r w:rsidRPr="00CF00D0">
      <w:rPr>
        <w:rFonts w:ascii="Avenir LT Std 45 Book" w:hAnsi="Avenir LT Std 45 Book" w:cs="Arial"/>
        <w:b/>
        <w:caps/>
        <w:noProof/>
        <w:color w:val="808080"/>
        <w:szCs w:val="20"/>
      </w:rPr>
      <mc:AlternateContent>
        <mc:Choice Requires="wps">
          <w:drawing>
            <wp:anchor distT="0" distB="0" distL="114300" distR="114300" simplePos="0" relativeHeight="251672576" behindDoc="0" locked="0" layoutInCell="1" allowOverlap="1" wp14:anchorId="1223F082" wp14:editId="07CE5A23">
              <wp:simplePos x="0" y="0"/>
              <wp:positionH relativeFrom="margin">
                <wp:align>left</wp:align>
              </wp:positionH>
              <wp:positionV relativeFrom="bottomMargin">
                <wp:align>top</wp:align>
              </wp:positionV>
              <wp:extent cx="8442325" cy="45085"/>
              <wp:effectExtent l="0" t="0" r="15875" b="12065"/>
              <wp:wrapSquare wrapText="bothSides"/>
              <wp:docPr id="14" name="Rectángulo 14"/>
              <wp:cNvGraphicFramePr/>
              <a:graphic xmlns:a="http://schemas.openxmlformats.org/drawingml/2006/main">
                <a:graphicData uri="http://schemas.microsoft.com/office/word/2010/wordprocessingShape">
                  <wps:wsp>
                    <wps:cNvSpPr/>
                    <wps:spPr>
                      <a:xfrm>
                        <a:off x="0" y="0"/>
                        <a:ext cx="8442325" cy="4508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7F9B7562" id="Rectángulo 14" o:spid="_x0000_s1026" style="position:absolute;margin-left:0;margin-top:0;width:664.75pt;height:3.55pt;z-index:251672576;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" fillcolor="#a5a5a5 [3206]" strokecolor="#525252 [1606]" strokeweight="1pt">
              <w10:wrap type="square" anchorx="margin" anchory="margin"/>
            </v:rect>
          </w:pict>
        </mc:Fallback>
      </mc:AlternateContent>
    </w:r>
    <w:r w:rsidRPr="00813029">
      <w:rPr>
        <w:rFonts w:ascii="Avenir LT Std 45 Book" w:hAnsi="Avenir LT Std 45 Book" w:cs="Arial"/>
        <w:color w:val="808080"/>
        <w:szCs w:val="20"/>
      </w:rPr>
      <w:t xml:space="preserve"> </w:t>
    </w:r>
    <w:r>
      <w:rPr>
        <w:rFonts w:ascii="Avenir LT Std 45 Book" w:hAnsi="Avenir LT Std 45 Book" w:cs="Arial"/>
        <w:color w:val="808080"/>
        <w:szCs w:val="20"/>
      </w:rPr>
      <w:t>NOTAS A LOS ESTADOS FINANCIEROS</w:t>
    </w:r>
    <w:r>
      <w:rPr>
        <w:rFonts w:ascii="Avenir LT Std 45 Book" w:hAnsi="Avenir LT Std 45 Book" w:cs="Arial"/>
        <w:color w:val="808080"/>
        <w:szCs w:val="20"/>
      </w:rPr>
      <w:tab/>
    </w:r>
    <w:r w:rsidRPr="00CF00D0">
      <w:rPr>
        <w:rFonts w:ascii="Avenir LT Std 45 Book" w:hAnsi="Avenir LT Std 45 Book" w:cs="Arial"/>
        <w:color w:val="808080"/>
        <w:szCs w:val="20"/>
      </w:rPr>
      <w:t xml:space="preserve">Página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PAGE   \* MERGEFORMAT </w:instrText>
    </w:r>
    <w:r w:rsidRPr="00CF00D0">
      <w:rPr>
        <w:rFonts w:ascii="Avenir LT Std 45 Book" w:hAnsi="Avenir LT Std 45 Book" w:cs="Arial"/>
        <w:color w:val="808080"/>
        <w:szCs w:val="20"/>
      </w:rPr>
      <w:fldChar w:fldCharType="separate"/>
    </w:r>
    <w:r w:rsidR="00CB1DF1">
      <w:rPr>
        <w:rFonts w:ascii="Avenir LT Std 45 Book" w:hAnsi="Avenir LT Std 45 Book" w:cs="Arial"/>
        <w:noProof/>
        <w:color w:val="808080"/>
        <w:szCs w:val="20"/>
      </w:rPr>
      <w:t>26</w:t>
    </w:r>
    <w:r w:rsidRPr="00CF00D0">
      <w:rPr>
        <w:rFonts w:ascii="Avenir LT Std 45 Book" w:hAnsi="Avenir LT Std 45 Book" w:cs="Arial"/>
        <w:color w:val="808080"/>
        <w:szCs w:val="20"/>
      </w:rPr>
      <w:fldChar w:fldCharType="end"/>
    </w:r>
    <w:r w:rsidRPr="00CF00D0">
      <w:rPr>
        <w:rFonts w:ascii="Avenir LT Std 45 Book" w:hAnsi="Avenir LT Std 45 Book" w:cs="Arial"/>
        <w:color w:val="808080"/>
        <w:szCs w:val="20"/>
      </w:rPr>
      <w:t xml:space="preserve"> de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NUMPAGES   \* MERGEFORMAT </w:instrText>
    </w:r>
    <w:r w:rsidRPr="00CF00D0">
      <w:rPr>
        <w:rFonts w:ascii="Avenir LT Std 45 Book" w:hAnsi="Avenir LT Std 45 Book" w:cs="Arial"/>
        <w:color w:val="808080"/>
        <w:szCs w:val="20"/>
      </w:rPr>
      <w:fldChar w:fldCharType="separate"/>
    </w:r>
    <w:r w:rsidR="00CB1DF1">
      <w:rPr>
        <w:rFonts w:ascii="Avenir LT Std 45 Book" w:hAnsi="Avenir LT Std 45 Book" w:cs="Arial"/>
        <w:noProof/>
        <w:color w:val="808080"/>
        <w:szCs w:val="20"/>
      </w:rPr>
      <w:t>34</w:t>
    </w:r>
    <w:r w:rsidRPr="00CF00D0">
      <w:rPr>
        <w:rFonts w:ascii="Avenir LT Std 45 Book" w:hAnsi="Avenir LT Std 45 Book" w:cs="Arial"/>
        <w:color w:val="808080"/>
        <w:szCs w:val="20"/>
      </w:rPr>
      <w:fldChar w:fldCharType="end"/>
    </w:r>
  </w:p>
  <w:p w:rsidR="005D7617" w:rsidRPr="00813029" w:rsidRDefault="005D7617" w:rsidP="0081302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617" w:rsidRPr="00CF00D0" w:rsidRDefault="005D7617" w:rsidP="00813029">
    <w:pPr>
      <w:pStyle w:val="Textoindependiente3"/>
      <w:tabs>
        <w:tab w:val="right" w:pos="13288"/>
      </w:tabs>
      <w:rPr>
        <w:rFonts w:ascii="Avenir LT Std 45 Book" w:hAnsi="Avenir LT Std 45 Book" w:cs="Arial"/>
        <w:color w:val="808080"/>
        <w:szCs w:val="20"/>
      </w:rPr>
    </w:pPr>
    <w:r w:rsidRPr="00CF00D0">
      <w:rPr>
        <w:rFonts w:ascii="Avenir LT Std 45 Book" w:hAnsi="Avenir LT Std 45 Book" w:cs="Arial"/>
        <w:b/>
        <w:caps/>
        <w:noProof/>
        <w:color w:val="808080"/>
        <w:szCs w:val="20"/>
      </w:rPr>
      <mc:AlternateContent>
        <mc:Choice Requires="wps">
          <w:drawing>
            <wp:anchor distT="0" distB="0" distL="114300" distR="114300" simplePos="0" relativeHeight="251663360" behindDoc="0" locked="0" layoutInCell="1" allowOverlap="1" wp14:anchorId="114B1BF6" wp14:editId="097C5967">
              <wp:simplePos x="0" y="0"/>
              <wp:positionH relativeFrom="margin">
                <wp:posOffset>-2540</wp:posOffset>
              </wp:positionH>
              <wp:positionV relativeFrom="page">
                <wp:posOffset>7219315</wp:posOffset>
              </wp:positionV>
              <wp:extent cx="8442325" cy="45085"/>
              <wp:effectExtent l="0" t="0" r="15875" b="12065"/>
              <wp:wrapSquare wrapText="bothSides"/>
              <wp:docPr id="6" name="Rectángulo 6"/>
              <wp:cNvGraphicFramePr/>
              <a:graphic xmlns:a="http://schemas.openxmlformats.org/drawingml/2006/main">
                <a:graphicData uri="http://schemas.microsoft.com/office/word/2010/wordprocessingShape">
                  <wps:wsp>
                    <wps:cNvSpPr/>
                    <wps:spPr>
                      <a:xfrm>
                        <a:off x="0" y="0"/>
                        <a:ext cx="8442325" cy="4508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5CCBB381" id="Rectángulo 6" o:spid="_x0000_s1026" style="position:absolute;margin-left:-.2pt;margin-top:568.45pt;width:664.75pt;height:3.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" fillcolor="#a5a5a5 [3206]" strokecolor="#525252 [1606]" strokeweight="1pt">
              <w10:wrap type="square" anchorx="margin" anchory="page"/>
            </v:rect>
          </w:pict>
        </mc:Fallback>
      </mc:AlternateContent>
    </w:r>
    <w:r>
      <w:rPr>
        <w:rFonts w:ascii="Avenir LT Std 45 Book" w:hAnsi="Avenir LT Std 45 Book" w:cs="Arial"/>
        <w:color w:val="808080"/>
        <w:szCs w:val="20"/>
      </w:rPr>
      <w:t>NOTAS A LOS ESTADOS FINANCIEROS</w:t>
    </w:r>
    <w:r>
      <w:rPr>
        <w:rFonts w:ascii="Avenir LT Std 45 Book" w:hAnsi="Avenir LT Std 45 Book" w:cs="Arial"/>
        <w:color w:val="808080"/>
        <w:szCs w:val="20"/>
      </w:rPr>
      <w:tab/>
    </w:r>
    <w:r w:rsidRPr="00CF00D0">
      <w:rPr>
        <w:rFonts w:ascii="Avenir LT Std 45 Book" w:hAnsi="Avenir LT Std 45 Book" w:cs="Arial"/>
        <w:color w:val="808080"/>
        <w:szCs w:val="20"/>
      </w:rPr>
      <w:t xml:space="preserve">Página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PAGE   \* MERGEFORMAT </w:instrText>
    </w:r>
    <w:r w:rsidRPr="00CF00D0">
      <w:rPr>
        <w:rFonts w:ascii="Avenir LT Std 45 Book" w:hAnsi="Avenir LT Std 45 Book" w:cs="Arial"/>
        <w:color w:val="808080"/>
        <w:szCs w:val="20"/>
      </w:rPr>
      <w:fldChar w:fldCharType="separate"/>
    </w:r>
    <w:r w:rsidR="00CB1DF1">
      <w:rPr>
        <w:rFonts w:ascii="Avenir LT Std 45 Book" w:hAnsi="Avenir LT Std 45 Book" w:cs="Arial"/>
        <w:noProof/>
        <w:color w:val="808080"/>
        <w:szCs w:val="20"/>
      </w:rPr>
      <w:t>27</w:t>
    </w:r>
    <w:r w:rsidRPr="00CF00D0">
      <w:rPr>
        <w:rFonts w:ascii="Avenir LT Std 45 Book" w:hAnsi="Avenir LT Std 45 Book" w:cs="Arial"/>
        <w:color w:val="808080"/>
        <w:szCs w:val="20"/>
      </w:rPr>
      <w:fldChar w:fldCharType="end"/>
    </w:r>
    <w:r w:rsidRPr="00CF00D0">
      <w:rPr>
        <w:rFonts w:ascii="Avenir LT Std 45 Book" w:hAnsi="Avenir LT Std 45 Book" w:cs="Arial"/>
        <w:color w:val="808080"/>
        <w:szCs w:val="20"/>
      </w:rPr>
      <w:t xml:space="preserve"> de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NUMPAGES   \* MERGEFORMAT </w:instrText>
    </w:r>
    <w:r w:rsidRPr="00CF00D0">
      <w:rPr>
        <w:rFonts w:ascii="Avenir LT Std 45 Book" w:hAnsi="Avenir LT Std 45 Book" w:cs="Arial"/>
        <w:color w:val="808080"/>
        <w:szCs w:val="20"/>
      </w:rPr>
      <w:fldChar w:fldCharType="separate"/>
    </w:r>
    <w:r w:rsidR="00CB1DF1">
      <w:rPr>
        <w:rFonts w:ascii="Avenir LT Std 45 Book" w:hAnsi="Avenir LT Std 45 Book" w:cs="Arial"/>
        <w:noProof/>
        <w:color w:val="808080"/>
        <w:szCs w:val="20"/>
      </w:rPr>
      <w:t>34</w:t>
    </w:r>
    <w:r w:rsidRPr="00CF00D0">
      <w:rPr>
        <w:rFonts w:ascii="Avenir LT Std 45 Book" w:hAnsi="Avenir LT Std 45 Book" w:cs="Arial"/>
        <w:color w:val="80808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BBB" w:rsidRDefault="00E55BBB">
      <w:r>
        <w:separator/>
      </w:r>
    </w:p>
  </w:footnote>
  <w:footnote w:type="continuationSeparator" w:id="0">
    <w:p w:rsidR="00E55BBB" w:rsidRDefault="00E55BBB">
      <w:r>
        <w:continuationSeparator/>
      </w:r>
    </w:p>
  </w:footnote>
  <w:footnote w:id="1">
    <w:p w:rsidR="005D7617" w:rsidRPr="000008C2" w:rsidRDefault="005D7617">
      <w:pPr>
        <w:pStyle w:val="Textonotapie"/>
        <w:rPr>
          <w:rFonts w:ascii="Arial" w:hAnsi="Arial" w:cs="Arial"/>
        </w:rPr>
      </w:pPr>
      <w:r w:rsidRPr="000008C2">
        <w:rPr>
          <w:rStyle w:val="Refdenotaalpie"/>
          <w:rFonts w:ascii="Arial" w:hAnsi="Arial" w:cs="Arial"/>
          <w:sz w:val="12"/>
        </w:rPr>
        <w:footnoteRef/>
      </w:r>
      <w:r w:rsidRPr="000008C2">
        <w:rPr>
          <w:rFonts w:ascii="Arial" w:hAnsi="Arial" w:cs="Arial"/>
          <w:sz w:val="12"/>
        </w:rPr>
        <w:t xml:space="preserve"> Con respecto a la información de la deuda pública, ésta se incluye en el informe de deuda pública en la nota 11 “información sobre la Deuda y el Reporte Analítico de la Deuda” de las notas de Gestión Administrativa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617" w:rsidRPr="002809DB" w:rsidRDefault="005D7617" w:rsidP="00627A77">
    <w:pPr>
      <w:rPr>
        <w:rFonts w:ascii="Soberana Sans Light" w:hAnsi="Soberana Sans Light"/>
        <w:b/>
        <w:sz w:val="20"/>
        <w:szCs w:val="20"/>
      </w:rPr>
    </w:pPr>
    <w:r>
      <w:rPr>
        <w:noProof/>
      </w:rPr>
      <w:drawing>
        <wp:anchor distT="0" distB="0" distL="114300" distR="114300" simplePos="0" relativeHeight="251670528" behindDoc="1" locked="0" layoutInCell="1" allowOverlap="1">
          <wp:simplePos x="0" y="0"/>
          <wp:positionH relativeFrom="margin">
            <wp:align>left</wp:align>
          </wp:positionH>
          <wp:positionV relativeFrom="paragraph">
            <wp:posOffset>-332884</wp:posOffset>
          </wp:positionV>
          <wp:extent cx="1564005" cy="581660"/>
          <wp:effectExtent l="0" t="0" r="0" b="889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STADO_QUERETAR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4005" cy="581660"/>
                  </a:xfrm>
                  <a:prstGeom prst="rect">
                    <a:avLst/>
                  </a:prstGeom>
                </pic:spPr>
              </pic:pic>
            </a:graphicData>
          </a:graphic>
        </wp:anchor>
      </w:drawing>
    </w:r>
    <w:r>
      <w:rPr>
        <w:noProof/>
      </w:rPr>
      <mc:AlternateContent>
        <mc:Choice Requires="wps">
          <w:drawing>
            <wp:anchor distT="0" distB="0" distL="114300" distR="114300" simplePos="0" relativeHeight="251669504" behindDoc="0" locked="0" layoutInCell="1" allowOverlap="1" wp14:anchorId="52E85D3F" wp14:editId="374E2962">
              <wp:simplePos x="0" y="0"/>
              <wp:positionH relativeFrom="margin">
                <wp:align>right</wp:align>
              </wp:positionH>
              <wp:positionV relativeFrom="paragraph">
                <wp:posOffset>-97209</wp:posOffset>
              </wp:positionV>
              <wp:extent cx="1940560" cy="308540"/>
              <wp:effectExtent l="0" t="0" r="2540" b="0"/>
              <wp:wrapNone/>
              <wp:docPr id="11"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30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7617" w:rsidRPr="00CF00D0" w:rsidRDefault="005D7617" w:rsidP="00997F4C">
                          <w:pPr>
                            <w:jc w:val="right"/>
                            <w:rPr>
                              <w:rFonts w:ascii="Avenir LT Std 45 Book" w:hAnsi="Avenir LT Std 45 Book" w:cs="Arial"/>
                              <w:b/>
                              <w:color w:val="808080"/>
                              <w:sz w:val="36"/>
                              <w:szCs w:val="20"/>
                            </w:rPr>
                          </w:pPr>
                          <w:r>
                            <w:rPr>
                              <w:rFonts w:ascii="Avenir LT Std 45 Book" w:hAnsi="Avenir LT Std 45 Book" w:cs="Arial"/>
                              <w:b/>
                              <w:color w:val="808080"/>
                              <w:sz w:val="36"/>
                              <w:szCs w:val="20"/>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85D3F" id="_x0000_t202" coordsize="21600,21600" o:spt="202" path="m,l,21600r21600,l21600,xe">
              <v:stroke joinstyle="miter"/>
              <v:path gradientshapeok="t" o:connecttype="rect"/>
            </v:shapetype>
            <v:shape id="Cuadro de texto 5" o:spid="_x0000_s1026" type="#_x0000_t202" style="position:absolute;margin-left:101.6pt;margin-top:-7.65pt;width:152.8pt;height:24.3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" stroked="f">
              <v:textbox>
                <w:txbxContent>
                  <w:p w:rsidR="005D7617" w:rsidRPr="00CF00D0" w:rsidRDefault="005D7617" w:rsidP="00997F4C">
                    <w:pPr>
                      <w:jc w:val="right"/>
                      <w:rPr>
                        <w:rFonts w:ascii="Avenir LT Std 45 Book" w:hAnsi="Avenir LT Std 45 Book" w:cs="Arial"/>
                        <w:b/>
                        <w:color w:val="808080"/>
                        <w:sz w:val="36"/>
                        <w:szCs w:val="20"/>
                      </w:rPr>
                    </w:pPr>
                    <w:r>
                      <w:rPr>
                        <w:rFonts w:ascii="Avenir LT Std 45 Book" w:hAnsi="Avenir LT Std 45 Book" w:cs="Arial"/>
                        <w:b/>
                        <w:color w:val="808080"/>
                        <w:sz w:val="36"/>
                        <w:szCs w:val="20"/>
                      </w:rPr>
                      <w:t>2020</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28A2502B" wp14:editId="75EA596F">
              <wp:simplePos x="0" y="0"/>
              <wp:positionH relativeFrom="column">
                <wp:posOffset>6488523</wp:posOffset>
              </wp:positionH>
              <wp:positionV relativeFrom="paragraph">
                <wp:posOffset>-422579</wp:posOffset>
              </wp:positionV>
              <wp:extent cx="1940560" cy="398297"/>
              <wp:effectExtent l="0" t="0" r="2540" b="1905"/>
              <wp:wrapNone/>
              <wp:docPr id="3"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3982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7617" w:rsidRPr="00CF00D0" w:rsidRDefault="005D7617" w:rsidP="00275FC6">
                          <w:pPr>
                            <w:jc w:val="right"/>
                            <w:rPr>
                              <w:rFonts w:ascii="Avenir LT Std 45 Book" w:hAnsi="Avenir LT Std 45 Book" w:cs="Arial"/>
                              <w:color w:val="808080"/>
                              <w:sz w:val="20"/>
                              <w:szCs w:val="20"/>
                            </w:rPr>
                          </w:pPr>
                          <w:r>
                            <w:rPr>
                              <w:rFonts w:ascii="Avenir LT Std 45 Book" w:hAnsi="Avenir LT Std 45 Book" w:cs="Arial"/>
                              <w:color w:val="808080"/>
                              <w:sz w:val="20"/>
                              <w:szCs w:val="20"/>
                            </w:rPr>
                            <w:t>Cuenta Pública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2502B" id="_x0000_s1027" type="#_x0000_t202" style="position:absolute;margin-left:510.9pt;margin-top:-33.25pt;width:152.8pt;height:3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" stroked="f">
              <v:textbox>
                <w:txbxContent>
                  <w:p w:rsidR="005D7617" w:rsidRPr="00CF00D0" w:rsidRDefault="005D7617" w:rsidP="00275FC6">
                    <w:pPr>
                      <w:jc w:val="right"/>
                      <w:rPr>
                        <w:rFonts w:ascii="Avenir LT Std 45 Book" w:hAnsi="Avenir LT Std 45 Book" w:cs="Arial"/>
                        <w:color w:val="808080"/>
                        <w:sz w:val="20"/>
                        <w:szCs w:val="20"/>
                      </w:rPr>
                    </w:pPr>
                    <w:r>
                      <w:rPr>
                        <w:rFonts w:ascii="Avenir LT Std 45 Book" w:hAnsi="Avenir LT Std 45 Book" w:cs="Arial"/>
                        <w:color w:val="808080"/>
                        <w:sz w:val="20"/>
                        <w:szCs w:val="20"/>
                      </w:rPr>
                      <w:t>Cuenta Pública</w:t>
                    </w:r>
                  </w:p>
                </w:txbxContent>
              </v:textbox>
            </v:shape>
          </w:pict>
        </mc:Fallback>
      </mc:AlternateContent>
    </w:r>
    <w:r>
      <w:rPr>
        <w:rFonts w:ascii="Arial" w:hAnsi="Arial" w:cs="Arial"/>
        <w:b/>
        <w:caps/>
        <w:noProof/>
        <w:color w:val="808080"/>
        <w:sz w:val="20"/>
        <w:szCs w:val="20"/>
      </w:rPr>
      <mc:AlternateContent>
        <mc:Choice Requires="wps">
          <w:drawing>
            <wp:anchor distT="0" distB="0" distL="114300" distR="114300" simplePos="0" relativeHeight="251665408" behindDoc="0" locked="0" layoutInCell="1" allowOverlap="1" wp14:anchorId="3A75F308" wp14:editId="59F94F8C">
              <wp:simplePos x="0" y="0"/>
              <wp:positionH relativeFrom="margin">
                <wp:align>left</wp:align>
              </wp:positionH>
              <wp:positionV relativeFrom="paragraph">
                <wp:posOffset>268636</wp:posOffset>
              </wp:positionV>
              <wp:extent cx="8442773" cy="45719"/>
              <wp:effectExtent l="0" t="0" r="15875" b="12065"/>
              <wp:wrapNone/>
              <wp:docPr id="9" name="Rectángulo 9"/>
              <wp:cNvGraphicFramePr/>
              <a:graphic xmlns:a="http://schemas.openxmlformats.org/drawingml/2006/main">
                <a:graphicData uri="http://schemas.microsoft.com/office/word/2010/wordprocessingShape">
                  <wps:wsp>
                    <wps:cNvSpPr/>
                    <wps:spPr>
                      <a:xfrm>
                        <a:off x="0" y="0"/>
                        <a:ext cx="8442773" cy="45719"/>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56FBCF11" id="Rectángulo 9" o:spid="_x0000_s1026" style="position:absolute;margin-left:0;margin-top:21.15pt;width:664.8pt;height:3.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" fillcolor="#a5a5a5 [3206]" strokecolor="#525252 [1606]" strokeweight="1pt">
              <w10:wrap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617" w:rsidRPr="00CF00D0" w:rsidRDefault="005D7617" w:rsidP="00823211">
    <w:pPr>
      <w:jc w:val="center"/>
      <w:rPr>
        <w:rFonts w:ascii="Avenir LT Std 45 Book" w:hAnsi="Avenir LT Std 45 Book"/>
        <w:b/>
        <w:color w:val="808080"/>
        <w:sz w:val="20"/>
        <w:szCs w:val="20"/>
      </w:rPr>
    </w:pPr>
    <w:r w:rsidRPr="00CF00D0">
      <w:rPr>
        <w:rFonts w:ascii="Avenir LT Std 45 Book" w:hAnsi="Avenir LT Std 45 Book" w:cs="Arial"/>
        <w:b/>
        <w:caps/>
        <w:noProof/>
        <w:color w:val="808080"/>
        <w:sz w:val="20"/>
        <w:szCs w:val="20"/>
      </w:rPr>
      <mc:AlternateContent>
        <mc:Choice Requires="wps">
          <w:drawing>
            <wp:anchor distT="0" distB="0" distL="114300" distR="114300" simplePos="0" relativeHeight="251661312" behindDoc="0" locked="0" layoutInCell="1" allowOverlap="1" wp14:anchorId="6BD6905B" wp14:editId="216CE04E">
              <wp:simplePos x="0" y="0"/>
              <wp:positionH relativeFrom="margin">
                <wp:align>center</wp:align>
              </wp:positionH>
              <wp:positionV relativeFrom="paragraph">
                <wp:posOffset>319405</wp:posOffset>
              </wp:positionV>
              <wp:extent cx="8442773" cy="45719"/>
              <wp:effectExtent l="0" t="0" r="15875" b="12065"/>
              <wp:wrapNone/>
              <wp:docPr id="5" name="Rectángulo 5"/>
              <wp:cNvGraphicFramePr/>
              <a:graphic xmlns:a="http://schemas.openxmlformats.org/drawingml/2006/main">
                <a:graphicData uri="http://schemas.microsoft.com/office/word/2010/wordprocessingShape">
                  <wps:wsp>
                    <wps:cNvSpPr/>
                    <wps:spPr>
                      <a:xfrm>
                        <a:off x="0" y="0"/>
                        <a:ext cx="8442773" cy="45719"/>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177EA" id="Rectángulo 5" o:spid="_x0000_s1026" style="position:absolute;margin-left:0;margin-top:25.15pt;width:664.8pt;height:3.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" fillcolor="#a5a5a5 [3206]" strokecolor="#525252 [1606]" strokeweight="1pt">
              <w10:wrap anchorx="margin"/>
            </v:rect>
          </w:pict>
        </mc:Fallback>
      </mc:AlternateContent>
    </w:r>
    <w:r w:rsidRPr="00AC4ED7">
      <w:rPr>
        <w:rFonts w:ascii="Avenir LT Std 45 Book" w:hAnsi="Avenir LT Std 45 Book" w:cs="Arial"/>
        <w:b/>
        <w:caps/>
        <w:noProof/>
        <w:color w:val="808080"/>
        <w:sz w:val="20"/>
        <w:szCs w:val="20"/>
      </w:rPr>
      <w:t>2.1.1.1.0</w:t>
    </w:r>
    <w:r>
      <w:rPr>
        <w:rFonts w:ascii="Avenir LT Std 45 Book" w:hAnsi="Avenir LT Std 45 Book" w:cs="Arial"/>
        <w:b/>
        <w:caps/>
        <w:noProof/>
        <w:color w:val="808080"/>
        <w:sz w:val="20"/>
        <w:szCs w:val="20"/>
      </w:rPr>
      <w:t xml:space="preserve"> GOBIERNO ESTATAL DE QUERÉTARO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363D4"/>
    <w:multiLevelType w:val="hybridMultilevel"/>
    <w:tmpl w:val="1AB28572"/>
    <w:lvl w:ilvl="0" w:tplc="F14C734E">
      <w:start w:val="1"/>
      <w:numFmt w:val="bullet"/>
      <w:pStyle w:val="BULET"/>
      <w:lvlText w:val=""/>
      <w:lvlJc w:val="left"/>
      <w:pPr>
        <w:tabs>
          <w:tab w:val="num" w:pos="717"/>
        </w:tabs>
        <w:ind w:left="697" w:hanging="340"/>
      </w:pPr>
      <w:rPr>
        <w:rFonts w:ascii="Symbol" w:hAnsi="Symbol" w:hint="default"/>
      </w:rPr>
    </w:lvl>
    <w:lvl w:ilvl="1" w:tplc="0C0A0001">
      <w:start w:val="1"/>
      <w:numFmt w:val="bullet"/>
      <w:lvlText w:val=""/>
      <w:lvlJc w:val="left"/>
      <w:pPr>
        <w:tabs>
          <w:tab w:val="num" w:pos="946"/>
        </w:tabs>
        <w:ind w:left="946" w:hanging="360"/>
      </w:pPr>
      <w:rPr>
        <w:rFonts w:ascii="Symbol" w:hAnsi="Symbol" w:hint="default"/>
      </w:rPr>
    </w:lvl>
    <w:lvl w:ilvl="2" w:tplc="0C0A0005" w:tentative="1">
      <w:start w:val="1"/>
      <w:numFmt w:val="bullet"/>
      <w:lvlText w:val=""/>
      <w:lvlJc w:val="left"/>
      <w:pPr>
        <w:tabs>
          <w:tab w:val="num" w:pos="1666"/>
        </w:tabs>
        <w:ind w:left="1666" w:hanging="360"/>
      </w:pPr>
      <w:rPr>
        <w:rFonts w:ascii="Wingdings" w:hAnsi="Wingdings" w:hint="default"/>
      </w:rPr>
    </w:lvl>
    <w:lvl w:ilvl="3" w:tplc="0C0A0001" w:tentative="1">
      <w:start w:val="1"/>
      <w:numFmt w:val="bullet"/>
      <w:lvlText w:val=""/>
      <w:lvlJc w:val="left"/>
      <w:pPr>
        <w:tabs>
          <w:tab w:val="num" w:pos="2386"/>
        </w:tabs>
        <w:ind w:left="2386" w:hanging="360"/>
      </w:pPr>
      <w:rPr>
        <w:rFonts w:ascii="Symbol" w:hAnsi="Symbol" w:hint="default"/>
      </w:rPr>
    </w:lvl>
    <w:lvl w:ilvl="4" w:tplc="0C0A0003" w:tentative="1">
      <w:start w:val="1"/>
      <w:numFmt w:val="bullet"/>
      <w:lvlText w:val="o"/>
      <w:lvlJc w:val="left"/>
      <w:pPr>
        <w:tabs>
          <w:tab w:val="num" w:pos="3106"/>
        </w:tabs>
        <w:ind w:left="3106" w:hanging="360"/>
      </w:pPr>
      <w:rPr>
        <w:rFonts w:ascii="Courier New" w:hAnsi="Courier New" w:hint="default"/>
      </w:rPr>
    </w:lvl>
    <w:lvl w:ilvl="5" w:tplc="0C0A0005" w:tentative="1">
      <w:start w:val="1"/>
      <w:numFmt w:val="bullet"/>
      <w:lvlText w:val=""/>
      <w:lvlJc w:val="left"/>
      <w:pPr>
        <w:tabs>
          <w:tab w:val="num" w:pos="3826"/>
        </w:tabs>
        <w:ind w:left="3826" w:hanging="360"/>
      </w:pPr>
      <w:rPr>
        <w:rFonts w:ascii="Wingdings" w:hAnsi="Wingdings" w:hint="default"/>
      </w:rPr>
    </w:lvl>
    <w:lvl w:ilvl="6" w:tplc="0C0A0001" w:tentative="1">
      <w:start w:val="1"/>
      <w:numFmt w:val="bullet"/>
      <w:lvlText w:val=""/>
      <w:lvlJc w:val="left"/>
      <w:pPr>
        <w:tabs>
          <w:tab w:val="num" w:pos="4546"/>
        </w:tabs>
        <w:ind w:left="4546" w:hanging="360"/>
      </w:pPr>
      <w:rPr>
        <w:rFonts w:ascii="Symbol" w:hAnsi="Symbol" w:hint="default"/>
      </w:rPr>
    </w:lvl>
    <w:lvl w:ilvl="7" w:tplc="0C0A0003" w:tentative="1">
      <w:start w:val="1"/>
      <w:numFmt w:val="bullet"/>
      <w:lvlText w:val="o"/>
      <w:lvlJc w:val="left"/>
      <w:pPr>
        <w:tabs>
          <w:tab w:val="num" w:pos="5266"/>
        </w:tabs>
        <w:ind w:left="5266" w:hanging="360"/>
      </w:pPr>
      <w:rPr>
        <w:rFonts w:ascii="Courier New" w:hAnsi="Courier New" w:hint="default"/>
      </w:rPr>
    </w:lvl>
    <w:lvl w:ilvl="8" w:tplc="0C0A0005" w:tentative="1">
      <w:start w:val="1"/>
      <w:numFmt w:val="bullet"/>
      <w:lvlText w:val=""/>
      <w:lvlJc w:val="left"/>
      <w:pPr>
        <w:tabs>
          <w:tab w:val="num" w:pos="5986"/>
        </w:tabs>
        <w:ind w:left="5986" w:hanging="360"/>
      </w:pPr>
      <w:rPr>
        <w:rFonts w:ascii="Wingdings" w:hAnsi="Wingdings" w:hint="default"/>
      </w:rPr>
    </w:lvl>
  </w:abstractNum>
  <w:abstractNum w:abstractNumId="1">
    <w:nsid w:val="055120CC"/>
    <w:multiLevelType w:val="hybridMultilevel"/>
    <w:tmpl w:val="43E4CFA8"/>
    <w:lvl w:ilvl="0" w:tplc="ECA89778">
      <w:start w:val="1"/>
      <w:numFmt w:val="bullet"/>
      <w:pStyle w:val="Vieta1"/>
      <w:lvlText w:val="•"/>
      <w:lvlJc w:val="left"/>
      <w:pPr>
        <w:tabs>
          <w:tab w:val="num" w:pos="240"/>
        </w:tabs>
        <w:ind w:left="480" w:hanging="240"/>
      </w:pPr>
      <w:rPr>
        <w:rFonts w:ascii="EurekaSans-Regular" w:hAnsi="EurekaSans-Regular" w:hint="default"/>
        <w:sz w:val="32"/>
      </w:rPr>
    </w:lvl>
    <w:lvl w:ilvl="1" w:tplc="040A0003">
      <w:start w:val="1"/>
      <w:numFmt w:val="bullet"/>
      <w:lvlText w:val="o"/>
      <w:lvlJc w:val="left"/>
      <w:pPr>
        <w:tabs>
          <w:tab w:val="num" w:pos="1440"/>
        </w:tabs>
        <w:ind w:left="1440" w:hanging="360"/>
      </w:pPr>
      <w:rPr>
        <w:rFonts w:ascii="Courier" w:hAnsi="Courier" w:hint="default"/>
      </w:rPr>
    </w:lvl>
    <w:lvl w:ilvl="2" w:tplc="040A0005">
      <w:start w:val="1"/>
      <w:numFmt w:val="bullet"/>
      <w:lvlText w:val=""/>
      <w:lvlJc w:val="left"/>
      <w:pPr>
        <w:tabs>
          <w:tab w:val="num" w:pos="2160"/>
        </w:tabs>
        <w:ind w:left="2160" w:hanging="360"/>
      </w:pPr>
      <w:rPr>
        <w:rFonts w:ascii="Symbol" w:eastAsia="Times New Roman" w:hAnsi="Symbol" w:hint="default"/>
      </w:rPr>
    </w:lvl>
    <w:lvl w:ilvl="3" w:tplc="040A0001">
      <w:start w:val="1"/>
      <w:numFmt w:val="bullet"/>
      <w:lvlText w:val=""/>
      <w:lvlJc w:val="left"/>
      <w:pPr>
        <w:tabs>
          <w:tab w:val="num" w:pos="2880"/>
        </w:tabs>
        <w:ind w:left="2880" w:hanging="360"/>
      </w:pPr>
      <w:rPr>
        <w:rFonts w:ascii="Symbol" w:eastAsia="Times New Roman" w:hAnsi="Symbol" w:hint="default"/>
      </w:rPr>
    </w:lvl>
    <w:lvl w:ilvl="4" w:tplc="040A0003">
      <w:start w:val="1"/>
      <w:numFmt w:val="bullet"/>
      <w:lvlText w:val="o"/>
      <w:lvlJc w:val="left"/>
      <w:pPr>
        <w:tabs>
          <w:tab w:val="num" w:pos="3600"/>
        </w:tabs>
        <w:ind w:left="3600" w:hanging="360"/>
      </w:pPr>
      <w:rPr>
        <w:rFonts w:ascii="Courier" w:hAnsi="Courier" w:hint="default"/>
      </w:rPr>
    </w:lvl>
    <w:lvl w:ilvl="5" w:tplc="040A0005">
      <w:start w:val="1"/>
      <w:numFmt w:val="bullet"/>
      <w:lvlText w:val=""/>
      <w:lvlJc w:val="left"/>
      <w:pPr>
        <w:tabs>
          <w:tab w:val="num" w:pos="4320"/>
        </w:tabs>
        <w:ind w:left="4320" w:hanging="360"/>
      </w:pPr>
      <w:rPr>
        <w:rFonts w:ascii="Symbol" w:eastAsia="Times New Roman" w:hAnsi="Symbol" w:hint="default"/>
      </w:rPr>
    </w:lvl>
    <w:lvl w:ilvl="6" w:tplc="040A0001">
      <w:start w:val="1"/>
      <w:numFmt w:val="bullet"/>
      <w:lvlText w:val=""/>
      <w:lvlJc w:val="left"/>
      <w:pPr>
        <w:tabs>
          <w:tab w:val="num" w:pos="5040"/>
        </w:tabs>
        <w:ind w:left="5040" w:hanging="360"/>
      </w:pPr>
      <w:rPr>
        <w:rFonts w:ascii="Symbol" w:eastAsia="Times New Roman" w:hAnsi="Symbol" w:hint="default"/>
      </w:rPr>
    </w:lvl>
    <w:lvl w:ilvl="7" w:tplc="040A0003">
      <w:start w:val="1"/>
      <w:numFmt w:val="bullet"/>
      <w:lvlText w:val="o"/>
      <w:lvlJc w:val="left"/>
      <w:pPr>
        <w:tabs>
          <w:tab w:val="num" w:pos="5760"/>
        </w:tabs>
        <w:ind w:left="5760" w:hanging="360"/>
      </w:pPr>
      <w:rPr>
        <w:rFonts w:ascii="Courier" w:hAnsi="Courier" w:hint="default"/>
      </w:rPr>
    </w:lvl>
    <w:lvl w:ilvl="8" w:tplc="040A0005">
      <w:start w:val="1"/>
      <w:numFmt w:val="bullet"/>
      <w:lvlText w:val=""/>
      <w:lvlJc w:val="left"/>
      <w:pPr>
        <w:tabs>
          <w:tab w:val="num" w:pos="6480"/>
        </w:tabs>
        <w:ind w:left="6480" w:hanging="360"/>
      </w:pPr>
      <w:rPr>
        <w:rFonts w:ascii="Symbol" w:eastAsia="Times New Roman" w:hAnsi="Symbol" w:hint="default"/>
      </w:rPr>
    </w:lvl>
  </w:abstractNum>
  <w:abstractNum w:abstractNumId="2">
    <w:nsid w:val="09761865"/>
    <w:multiLevelType w:val="singleLevel"/>
    <w:tmpl w:val="3EBAF0BE"/>
    <w:lvl w:ilvl="0">
      <w:start w:val="1"/>
      <w:numFmt w:val="bullet"/>
      <w:pStyle w:val="Bala"/>
      <w:lvlText w:val=""/>
      <w:lvlJc w:val="left"/>
      <w:pPr>
        <w:tabs>
          <w:tab w:val="num" w:pos="397"/>
        </w:tabs>
        <w:ind w:left="397" w:hanging="397"/>
      </w:pPr>
      <w:rPr>
        <w:rFonts w:ascii="Symbol" w:hAnsi="Symbol" w:hint="default"/>
      </w:rPr>
    </w:lvl>
  </w:abstractNum>
  <w:abstractNum w:abstractNumId="3">
    <w:nsid w:val="0EBC78DB"/>
    <w:multiLevelType w:val="hybridMultilevel"/>
    <w:tmpl w:val="F2C87D0A"/>
    <w:lvl w:ilvl="0" w:tplc="9FD07BC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1C5117"/>
    <w:multiLevelType w:val="hybridMultilevel"/>
    <w:tmpl w:val="95CACD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11787C96">
      <w:numFmt w:val="bullet"/>
      <w:lvlText w:val="•"/>
      <w:lvlJc w:val="left"/>
      <w:pPr>
        <w:ind w:left="3945" w:hanging="705"/>
      </w:pPr>
      <w:rPr>
        <w:rFonts w:ascii="Arial" w:eastAsia="Calibri" w:hAnsi="Arial"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EF77FE"/>
    <w:multiLevelType w:val="multilevel"/>
    <w:tmpl w:val="CF34A9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39D72CF1"/>
    <w:multiLevelType w:val="hybridMultilevel"/>
    <w:tmpl w:val="FA7AA944"/>
    <w:lvl w:ilvl="0" w:tplc="0FAECB1A">
      <w:start w:val="1"/>
      <w:numFmt w:val="bullet"/>
      <w:pStyle w:val="VIETANEGRA"/>
      <w:lvlText w:val=""/>
      <w:lvlJc w:val="left"/>
      <w:pPr>
        <w:tabs>
          <w:tab w:val="num" w:pos="785"/>
        </w:tabs>
        <w:ind w:left="766" w:hanging="341"/>
      </w:pPr>
      <w:rPr>
        <w:rFonts w:ascii="Wingdings" w:hAnsi="Wingdings" w:hint="default"/>
        <w:sz w:val="1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35F5914"/>
    <w:multiLevelType w:val="hybridMultilevel"/>
    <w:tmpl w:val="AE4665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3892865"/>
    <w:multiLevelType w:val="hybridMultilevel"/>
    <w:tmpl w:val="2E4A4086"/>
    <w:lvl w:ilvl="0" w:tplc="37D8B2C8">
      <w:start w:val="1"/>
      <w:numFmt w:val="bullet"/>
      <w:pStyle w:val="VIETABLANCA"/>
      <w:lvlText w:val=""/>
      <w:lvlJc w:val="left"/>
      <w:pPr>
        <w:tabs>
          <w:tab w:val="num" w:pos="785"/>
        </w:tabs>
        <w:ind w:left="567" w:hanging="142"/>
      </w:pPr>
      <w:rPr>
        <w:rFonts w:ascii="Wingdings" w:hAnsi="Wingdings" w:hint="default"/>
        <w:sz w:val="18"/>
      </w:rPr>
    </w:lvl>
    <w:lvl w:ilvl="1" w:tplc="12BC1C2C" w:tentative="1">
      <w:start w:val="1"/>
      <w:numFmt w:val="bullet"/>
      <w:lvlText w:val="o"/>
      <w:lvlJc w:val="left"/>
      <w:pPr>
        <w:tabs>
          <w:tab w:val="num" w:pos="1440"/>
        </w:tabs>
        <w:ind w:left="1440" w:hanging="360"/>
      </w:pPr>
      <w:rPr>
        <w:rFonts w:ascii="Courier New" w:hAnsi="Courier New" w:hint="default"/>
      </w:rPr>
    </w:lvl>
    <w:lvl w:ilvl="2" w:tplc="1AD6E33E" w:tentative="1">
      <w:start w:val="1"/>
      <w:numFmt w:val="bullet"/>
      <w:lvlText w:val=""/>
      <w:lvlJc w:val="left"/>
      <w:pPr>
        <w:tabs>
          <w:tab w:val="num" w:pos="2160"/>
        </w:tabs>
        <w:ind w:left="2160" w:hanging="360"/>
      </w:pPr>
      <w:rPr>
        <w:rFonts w:ascii="Wingdings" w:hAnsi="Wingdings" w:hint="default"/>
      </w:rPr>
    </w:lvl>
    <w:lvl w:ilvl="3" w:tplc="6F3CC046" w:tentative="1">
      <w:start w:val="1"/>
      <w:numFmt w:val="bullet"/>
      <w:lvlText w:val=""/>
      <w:lvlJc w:val="left"/>
      <w:pPr>
        <w:tabs>
          <w:tab w:val="num" w:pos="2880"/>
        </w:tabs>
        <w:ind w:left="2880" w:hanging="360"/>
      </w:pPr>
      <w:rPr>
        <w:rFonts w:ascii="Symbol" w:hAnsi="Symbol" w:hint="default"/>
      </w:rPr>
    </w:lvl>
    <w:lvl w:ilvl="4" w:tplc="D9E0F0EE" w:tentative="1">
      <w:start w:val="1"/>
      <w:numFmt w:val="bullet"/>
      <w:lvlText w:val="o"/>
      <w:lvlJc w:val="left"/>
      <w:pPr>
        <w:tabs>
          <w:tab w:val="num" w:pos="3600"/>
        </w:tabs>
        <w:ind w:left="3600" w:hanging="360"/>
      </w:pPr>
      <w:rPr>
        <w:rFonts w:ascii="Courier New" w:hAnsi="Courier New" w:hint="default"/>
      </w:rPr>
    </w:lvl>
    <w:lvl w:ilvl="5" w:tplc="743ED386" w:tentative="1">
      <w:start w:val="1"/>
      <w:numFmt w:val="bullet"/>
      <w:lvlText w:val=""/>
      <w:lvlJc w:val="left"/>
      <w:pPr>
        <w:tabs>
          <w:tab w:val="num" w:pos="4320"/>
        </w:tabs>
        <w:ind w:left="4320" w:hanging="360"/>
      </w:pPr>
      <w:rPr>
        <w:rFonts w:ascii="Wingdings" w:hAnsi="Wingdings" w:hint="default"/>
      </w:rPr>
    </w:lvl>
    <w:lvl w:ilvl="6" w:tplc="581C7FCE" w:tentative="1">
      <w:start w:val="1"/>
      <w:numFmt w:val="bullet"/>
      <w:lvlText w:val=""/>
      <w:lvlJc w:val="left"/>
      <w:pPr>
        <w:tabs>
          <w:tab w:val="num" w:pos="5040"/>
        </w:tabs>
        <w:ind w:left="5040" w:hanging="360"/>
      </w:pPr>
      <w:rPr>
        <w:rFonts w:ascii="Symbol" w:hAnsi="Symbol" w:hint="default"/>
      </w:rPr>
    </w:lvl>
    <w:lvl w:ilvl="7" w:tplc="6D027FB2" w:tentative="1">
      <w:start w:val="1"/>
      <w:numFmt w:val="bullet"/>
      <w:lvlText w:val="o"/>
      <w:lvlJc w:val="left"/>
      <w:pPr>
        <w:tabs>
          <w:tab w:val="num" w:pos="5760"/>
        </w:tabs>
        <w:ind w:left="5760" w:hanging="360"/>
      </w:pPr>
      <w:rPr>
        <w:rFonts w:ascii="Courier New" w:hAnsi="Courier New" w:hint="default"/>
      </w:rPr>
    </w:lvl>
    <w:lvl w:ilvl="8" w:tplc="69E26FDC" w:tentative="1">
      <w:start w:val="1"/>
      <w:numFmt w:val="bullet"/>
      <w:lvlText w:val=""/>
      <w:lvlJc w:val="left"/>
      <w:pPr>
        <w:tabs>
          <w:tab w:val="num" w:pos="6480"/>
        </w:tabs>
        <w:ind w:left="6480" w:hanging="360"/>
      </w:pPr>
      <w:rPr>
        <w:rFonts w:ascii="Wingdings" w:hAnsi="Wingdings" w:hint="default"/>
      </w:rPr>
    </w:lvl>
  </w:abstractNum>
  <w:abstractNum w:abstractNumId="9">
    <w:nsid w:val="4A9028B5"/>
    <w:multiLevelType w:val="hybridMultilevel"/>
    <w:tmpl w:val="608655B4"/>
    <w:lvl w:ilvl="0" w:tplc="7186A402">
      <w:start w:val="1"/>
      <w:numFmt w:val="bullet"/>
      <w:pStyle w:val="BALA0"/>
      <w:lvlText w:val=""/>
      <w:lvlJc w:val="left"/>
      <w:pPr>
        <w:tabs>
          <w:tab w:val="num" w:pos="417"/>
        </w:tabs>
        <w:ind w:left="340" w:hanging="283"/>
      </w:pPr>
      <w:rPr>
        <w:rFonts w:ascii="Symbol" w:hAnsi="Symbol" w:hint="default"/>
        <w:color w:val="auto"/>
        <w:sz w:val="16"/>
      </w:rPr>
    </w:lvl>
    <w:lvl w:ilvl="1" w:tplc="1ED0659E"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0">
    <w:nsid w:val="4BE55AAE"/>
    <w:multiLevelType w:val="hybridMultilevel"/>
    <w:tmpl w:val="2A123DEC"/>
    <w:lvl w:ilvl="0" w:tplc="8C12FCDE">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0120857"/>
    <w:multiLevelType w:val="hybridMultilevel"/>
    <w:tmpl w:val="4FD87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7411845"/>
    <w:multiLevelType w:val="hybridMultilevel"/>
    <w:tmpl w:val="7D12A94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5C310598"/>
    <w:multiLevelType w:val="hybridMultilevel"/>
    <w:tmpl w:val="F132A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FFD38B2"/>
    <w:multiLevelType w:val="hybridMultilevel"/>
    <w:tmpl w:val="ED3EFCEE"/>
    <w:lvl w:ilvl="0" w:tplc="76D695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0613347"/>
    <w:multiLevelType w:val="hybridMultilevel"/>
    <w:tmpl w:val="26F01694"/>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C8740A8"/>
    <w:multiLevelType w:val="hybridMultilevel"/>
    <w:tmpl w:val="3A9E0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0164D2B"/>
    <w:multiLevelType w:val="hybridMultilevel"/>
    <w:tmpl w:val="6EE0E2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4B80A77"/>
    <w:multiLevelType w:val="hybridMultilevel"/>
    <w:tmpl w:val="F4E82B6A"/>
    <w:lvl w:ilvl="0" w:tplc="DE249C5C">
      <w:start w:val="1"/>
      <w:numFmt w:val="upperRoman"/>
      <w:pStyle w:val="bala11pts"/>
      <w:lvlText w:val="%1."/>
      <w:lvlJc w:val="left"/>
      <w:pPr>
        <w:tabs>
          <w:tab w:val="num" w:pos="340"/>
        </w:tabs>
        <w:ind w:left="340" w:hanging="340"/>
      </w:pPr>
      <w:rPr>
        <w:rFonts w:hint="default"/>
      </w:rPr>
    </w:lvl>
    <w:lvl w:ilvl="1" w:tplc="080A0003" w:tentative="1">
      <w:start w:val="1"/>
      <w:numFmt w:val="lowerLetter"/>
      <w:lvlText w:val="%2."/>
      <w:lvlJc w:val="left"/>
      <w:pPr>
        <w:tabs>
          <w:tab w:val="num" w:pos="1440"/>
        </w:tabs>
        <w:ind w:left="1440" w:hanging="360"/>
      </w:pPr>
    </w:lvl>
    <w:lvl w:ilvl="2" w:tplc="080A0005" w:tentative="1">
      <w:start w:val="1"/>
      <w:numFmt w:val="lowerRoman"/>
      <w:lvlText w:val="%3."/>
      <w:lvlJc w:val="right"/>
      <w:pPr>
        <w:tabs>
          <w:tab w:val="num" w:pos="2160"/>
        </w:tabs>
        <w:ind w:left="2160" w:hanging="180"/>
      </w:pPr>
    </w:lvl>
    <w:lvl w:ilvl="3" w:tplc="080A0001" w:tentative="1">
      <w:start w:val="1"/>
      <w:numFmt w:val="decimal"/>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19">
    <w:nsid w:val="74D43C6E"/>
    <w:multiLevelType w:val="hybridMultilevel"/>
    <w:tmpl w:val="1DF6DA1C"/>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0"/>
  </w:num>
  <w:num w:numId="4">
    <w:abstractNumId w:val="9"/>
  </w:num>
  <w:num w:numId="5">
    <w:abstractNumId w:val="6"/>
  </w:num>
  <w:num w:numId="6">
    <w:abstractNumId w:val="1"/>
  </w:num>
  <w:num w:numId="7">
    <w:abstractNumId w:val="2"/>
  </w:num>
  <w:num w:numId="8">
    <w:abstractNumId w:val="20"/>
  </w:num>
  <w:num w:numId="9">
    <w:abstractNumId w:val="7"/>
  </w:num>
  <w:num w:numId="10">
    <w:abstractNumId w:val="14"/>
  </w:num>
  <w:num w:numId="11">
    <w:abstractNumId w:val="1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9"/>
  </w:num>
  <w:num w:numId="16">
    <w:abstractNumId w:val="4"/>
  </w:num>
  <w:num w:numId="17">
    <w:abstractNumId w:val="5"/>
  </w:num>
  <w:num w:numId="18">
    <w:abstractNumId w:val="12"/>
  </w:num>
  <w:num w:numId="19">
    <w:abstractNumId w:val="13"/>
  </w:num>
  <w:num w:numId="20">
    <w:abstractNumId w:val="11"/>
  </w:num>
  <w:num w:numId="21">
    <w:abstractNumId w:val="17"/>
  </w:num>
  <w:num w:numId="22">
    <w:abstractNumId w:val="16"/>
  </w:num>
  <w:num w:numId="2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8A2"/>
    <w:rsid w:val="00000166"/>
    <w:rsid w:val="000008C2"/>
    <w:rsid w:val="00000A24"/>
    <w:rsid w:val="00002652"/>
    <w:rsid w:val="00002971"/>
    <w:rsid w:val="00002AD7"/>
    <w:rsid w:val="00003379"/>
    <w:rsid w:val="0000365A"/>
    <w:rsid w:val="00004B62"/>
    <w:rsid w:val="00005112"/>
    <w:rsid w:val="00005143"/>
    <w:rsid w:val="00005BA1"/>
    <w:rsid w:val="00005BBF"/>
    <w:rsid w:val="0000634E"/>
    <w:rsid w:val="000065BE"/>
    <w:rsid w:val="00007AAC"/>
    <w:rsid w:val="000102CA"/>
    <w:rsid w:val="0001104C"/>
    <w:rsid w:val="000110F0"/>
    <w:rsid w:val="00011178"/>
    <w:rsid w:val="000119FE"/>
    <w:rsid w:val="0001214E"/>
    <w:rsid w:val="00012DB2"/>
    <w:rsid w:val="0001361A"/>
    <w:rsid w:val="00013641"/>
    <w:rsid w:val="00013D14"/>
    <w:rsid w:val="00016A7F"/>
    <w:rsid w:val="000174D5"/>
    <w:rsid w:val="00017ACD"/>
    <w:rsid w:val="0002043D"/>
    <w:rsid w:val="00020562"/>
    <w:rsid w:val="00020A76"/>
    <w:rsid w:val="00020B87"/>
    <w:rsid w:val="00021A85"/>
    <w:rsid w:val="00024517"/>
    <w:rsid w:val="000254B8"/>
    <w:rsid w:val="00026019"/>
    <w:rsid w:val="00026B8C"/>
    <w:rsid w:val="000331A9"/>
    <w:rsid w:val="000337D3"/>
    <w:rsid w:val="000340A5"/>
    <w:rsid w:val="0003453F"/>
    <w:rsid w:val="00034C2D"/>
    <w:rsid w:val="00035026"/>
    <w:rsid w:val="0003505B"/>
    <w:rsid w:val="000352FF"/>
    <w:rsid w:val="00040AA9"/>
    <w:rsid w:val="000412BA"/>
    <w:rsid w:val="00041BED"/>
    <w:rsid w:val="00042E9B"/>
    <w:rsid w:val="00043012"/>
    <w:rsid w:val="0004490E"/>
    <w:rsid w:val="0004595A"/>
    <w:rsid w:val="00046A9C"/>
    <w:rsid w:val="00050D0B"/>
    <w:rsid w:val="00052BAF"/>
    <w:rsid w:val="00054214"/>
    <w:rsid w:val="000545B0"/>
    <w:rsid w:val="000556E4"/>
    <w:rsid w:val="00056302"/>
    <w:rsid w:val="0005667D"/>
    <w:rsid w:val="00056934"/>
    <w:rsid w:val="00060302"/>
    <w:rsid w:val="00061C12"/>
    <w:rsid w:val="00061CB6"/>
    <w:rsid w:val="00062243"/>
    <w:rsid w:val="00062DAE"/>
    <w:rsid w:val="00062E72"/>
    <w:rsid w:val="00063DF1"/>
    <w:rsid w:val="00063EA6"/>
    <w:rsid w:val="0006463E"/>
    <w:rsid w:val="00064969"/>
    <w:rsid w:val="0006529B"/>
    <w:rsid w:val="0006650E"/>
    <w:rsid w:val="000665BD"/>
    <w:rsid w:val="000674A8"/>
    <w:rsid w:val="00067BB4"/>
    <w:rsid w:val="00071233"/>
    <w:rsid w:val="00071FAC"/>
    <w:rsid w:val="00072CB2"/>
    <w:rsid w:val="00072E8E"/>
    <w:rsid w:val="00072F8B"/>
    <w:rsid w:val="00074B74"/>
    <w:rsid w:val="00075E8D"/>
    <w:rsid w:val="000767E5"/>
    <w:rsid w:val="0007770A"/>
    <w:rsid w:val="00077B39"/>
    <w:rsid w:val="00077BF0"/>
    <w:rsid w:val="00080148"/>
    <w:rsid w:val="00080796"/>
    <w:rsid w:val="00080A73"/>
    <w:rsid w:val="00080CBB"/>
    <w:rsid w:val="00080E00"/>
    <w:rsid w:val="00081131"/>
    <w:rsid w:val="0008166A"/>
    <w:rsid w:val="00082348"/>
    <w:rsid w:val="00082C24"/>
    <w:rsid w:val="00082EEE"/>
    <w:rsid w:val="00083410"/>
    <w:rsid w:val="0008362C"/>
    <w:rsid w:val="000840A2"/>
    <w:rsid w:val="00090DE7"/>
    <w:rsid w:val="000912A5"/>
    <w:rsid w:val="00091AD4"/>
    <w:rsid w:val="00091D44"/>
    <w:rsid w:val="000927AA"/>
    <w:rsid w:val="00092DB3"/>
    <w:rsid w:val="00093302"/>
    <w:rsid w:val="000940D4"/>
    <w:rsid w:val="00097DDA"/>
    <w:rsid w:val="000A003D"/>
    <w:rsid w:val="000A04D9"/>
    <w:rsid w:val="000A0712"/>
    <w:rsid w:val="000A1CD9"/>
    <w:rsid w:val="000A204D"/>
    <w:rsid w:val="000A2512"/>
    <w:rsid w:val="000A39DC"/>
    <w:rsid w:val="000A4096"/>
    <w:rsid w:val="000A5319"/>
    <w:rsid w:val="000A6524"/>
    <w:rsid w:val="000A66A2"/>
    <w:rsid w:val="000A6857"/>
    <w:rsid w:val="000A6C91"/>
    <w:rsid w:val="000A6EDA"/>
    <w:rsid w:val="000B0333"/>
    <w:rsid w:val="000B09F9"/>
    <w:rsid w:val="000B0AAA"/>
    <w:rsid w:val="000B13A1"/>
    <w:rsid w:val="000B15B5"/>
    <w:rsid w:val="000B1EEB"/>
    <w:rsid w:val="000B2076"/>
    <w:rsid w:val="000B2E80"/>
    <w:rsid w:val="000B4B11"/>
    <w:rsid w:val="000B4BC8"/>
    <w:rsid w:val="000B503E"/>
    <w:rsid w:val="000B5B5B"/>
    <w:rsid w:val="000B6CE6"/>
    <w:rsid w:val="000B6CF1"/>
    <w:rsid w:val="000B6D04"/>
    <w:rsid w:val="000B78FA"/>
    <w:rsid w:val="000C00FF"/>
    <w:rsid w:val="000C0C81"/>
    <w:rsid w:val="000C2C0C"/>
    <w:rsid w:val="000C2DE0"/>
    <w:rsid w:val="000C472B"/>
    <w:rsid w:val="000C634E"/>
    <w:rsid w:val="000C6384"/>
    <w:rsid w:val="000C65BA"/>
    <w:rsid w:val="000C69D3"/>
    <w:rsid w:val="000C6B30"/>
    <w:rsid w:val="000C6BEB"/>
    <w:rsid w:val="000C785E"/>
    <w:rsid w:val="000D0770"/>
    <w:rsid w:val="000D1C10"/>
    <w:rsid w:val="000D2B07"/>
    <w:rsid w:val="000D2B10"/>
    <w:rsid w:val="000D5387"/>
    <w:rsid w:val="000D6790"/>
    <w:rsid w:val="000D6A6C"/>
    <w:rsid w:val="000E00FC"/>
    <w:rsid w:val="000E042B"/>
    <w:rsid w:val="000E08A8"/>
    <w:rsid w:val="000E0E94"/>
    <w:rsid w:val="000E15DF"/>
    <w:rsid w:val="000E2289"/>
    <w:rsid w:val="000E22DA"/>
    <w:rsid w:val="000E2BF9"/>
    <w:rsid w:val="000E381F"/>
    <w:rsid w:val="000E4D88"/>
    <w:rsid w:val="000E546D"/>
    <w:rsid w:val="000E6CDF"/>
    <w:rsid w:val="000E716C"/>
    <w:rsid w:val="000E74EF"/>
    <w:rsid w:val="000E77D4"/>
    <w:rsid w:val="000F12DA"/>
    <w:rsid w:val="000F1797"/>
    <w:rsid w:val="000F17A5"/>
    <w:rsid w:val="000F2A98"/>
    <w:rsid w:val="000F2D49"/>
    <w:rsid w:val="000F419C"/>
    <w:rsid w:val="000F44F2"/>
    <w:rsid w:val="000F6F60"/>
    <w:rsid w:val="000F72A0"/>
    <w:rsid w:val="000F7341"/>
    <w:rsid w:val="000F74C6"/>
    <w:rsid w:val="000F7647"/>
    <w:rsid w:val="000F79B7"/>
    <w:rsid w:val="001000AE"/>
    <w:rsid w:val="00100444"/>
    <w:rsid w:val="00101978"/>
    <w:rsid w:val="00102FF2"/>
    <w:rsid w:val="001042D7"/>
    <w:rsid w:val="001045F8"/>
    <w:rsid w:val="0010523D"/>
    <w:rsid w:val="0010568A"/>
    <w:rsid w:val="001059EB"/>
    <w:rsid w:val="001064F1"/>
    <w:rsid w:val="00106A13"/>
    <w:rsid w:val="00111281"/>
    <w:rsid w:val="0011225D"/>
    <w:rsid w:val="00112BBE"/>
    <w:rsid w:val="00114B14"/>
    <w:rsid w:val="00115256"/>
    <w:rsid w:val="00115AA7"/>
    <w:rsid w:val="00115B7F"/>
    <w:rsid w:val="001163C1"/>
    <w:rsid w:val="00116F9D"/>
    <w:rsid w:val="00121647"/>
    <w:rsid w:val="00122060"/>
    <w:rsid w:val="00122818"/>
    <w:rsid w:val="00122F38"/>
    <w:rsid w:val="001235F7"/>
    <w:rsid w:val="00124B1D"/>
    <w:rsid w:val="00124E6A"/>
    <w:rsid w:val="00125540"/>
    <w:rsid w:val="001266F2"/>
    <w:rsid w:val="00126FF3"/>
    <w:rsid w:val="001273BF"/>
    <w:rsid w:val="00131D99"/>
    <w:rsid w:val="001336DB"/>
    <w:rsid w:val="00135637"/>
    <w:rsid w:val="00135733"/>
    <w:rsid w:val="0013607B"/>
    <w:rsid w:val="001364C8"/>
    <w:rsid w:val="0013653C"/>
    <w:rsid w:val="00137D20"/>
    <w:rsid w:val="0014089D"/>
    <w:rsid w:val="001411A8"/>
    <w:rsid w:val="00141348"/>
    <w:rsid w:val="001417BB"/>
    <w:rsid w:val="0014285E"/>
    <w:rsid w:val="001439B4"/>
    <w:rsid w:val="001441B9"/>
    <w:rsid w:val="00145CB3"/>
    <w:rsid w:val="00145DBE"/>
    <w:rsid w:val="00146909"/>
    <w:rsid w:val="00146A6D"/>
    <w:rsid w:val="00146FDB"/>
    <w:rsid w:val="00147069"/>
    <w:rsid w:val="001479F4"/>
    <w:rsid w:val="00150A77"/>
    <w:rsid w:val="00150FB0"/>
    <w:rsid w:val="0015343C"/>
    <w:rsid w:val="00154562"/>
    <w:rsid w:val="00155B42"/>
    <w:rsid w:val="00155FC3"/>
    <w:rsid w:val="0015640F"/>
    <w:rsid w:val="001566C3"/>
    <w:rsid w:val="00156F42"/>
    <w:rsid w:val="001604B7"/>
    <w:rsid w:val="0016150C"/>
    <w:rsid w:val="0016196C"/>
    <w:rsid w:val="0016265A"/>
    <w:rsid w:val="00163119"/>
    <w:rsid w:val="00163185"/>
    <w:rsid w:val="0016374B"/>
    <w:rsid w:val="00163875"/>
    <w:rsid w:val="0016401B"/>
    <w:rsid w:val="0016437E"/>
    <w:rsid w:val="00167DCA"/>
    <w:rsid w:val="0017137D"/>
    <w:rsid w:val="001720CF"/>
    <w:rsid w:val="001728A2"/>
    <w:rsid w:val="001749D4"/>
    <w:rsid w:val="00175B6D"/>
    <w:rsid w:val="00175C25"/>
    <w:rsid w:val="00175EBB"/>
    <w:rsid w:val="001772F2"/>
    <w:rsid w:val="00180019"/>
    <w:rsid w:val="001800C2"/>
    <w:rsid w:val="00180288"/>
    <w:rsid w:val="00180430"/>
    <w:rsid w:val="001819E5"/>
    <w:rsid w:val="00182C0E"/>
    <w:rsid w:val="00182DD5"/>
    <w:rsid w:val="001838C3"/>
    <w:rsid w:val="00186BCA"/>
    <w:rsid w:val="00186E15"/>
    <w:rsid w:val="00187595"/>
    <w:rsid w:val="0018790A"/>
    <w:rsid w:val="00187971"/>
    <w:rsid w:val="00190350"/>
    <w:rsid w:val="0019167C"/>
    <w:rsid w:val="00192420"/>
    <w:rsid w:val="00192880"/>
    <w:rsid w:val="00192F45"/>
    <w:rsid w:val="00193FF0"/>
    <w:rsid w:val="00194ABE"/>
    <w:rsid w:val="00195866"/>
    <w:rsid w:val="00195F8A"/>
    <w:rsid w:val="0019606A"/>
    <w:rsid w:val="00196215"/>
    <w:rsid w:val="00196E7A"/>
    <w:rsid w:val="0019722F"/>
    <w:rsid w:val="001979E6"/>
    <w:rsid w:val="001A0060"/>
    <w:rsid w:val="001A1EFE"/>
    <w:rsid w:val="001A2717"/>
    <w:rsid w:val="001A3042"/>
    <w:rsid w:val="001A3EA9"/>
    <w:rsid w:val="001A54B2"/>
    <w:rsid w:val="001A6B95"/>
    <w:rsid w:val="001A7A7F"/>
    <w:rsid w:val="001A7C76"/>
    <w:rsid w:val="001B007B"/>
    <w:rsid w:val="001B2073"/>
    <w:rsid w:val="001B2EE0"/>
    <w:rsid w:val="001B31A7"/>
    <w:rsid w:val="001B3BC0"/>
    <w:rsid w:val="001B49BF"/>
    <w:rsid w:val="001B5113"/>
    <w:rsid w:val="001B59FD"/>
    <w:rsid w:val="001B5FF6"/>
    <w:rsid w:val="001B6B15"/>
    <w:rsid w:val="001B7767"/>
    <w:rsid w:val="001B7E6F"/>
    <w:rsid w:val="001C123D"/>
    <w:rsid w:val="001C1C28"/>
    <w:rsid w:val="001C2566"/>
    <w:rsid w:val="001C3A28"/>
    <w:rsid w:val="001C4948"/>
    <w:rsid w:val="001C4C8E"/>
    <w:rsid w:val="001C4EC6"/>
    <w:rsid w:val="001C5B7A"/>
    <w:rsid w:val="001C6C60"/>
    <w:rsid w:val="001C7381"/>
    <w:rsid w:val="001D0243"/>
    <w:rsid w:val="001D065E"/>
    <w:rsid w:val="001D12B4"/>
    <w:rsid w:val="001D1E5F"/>
    <w:rsid w:val="001D24E0"/>
    <w:rsid w:val="001D2914"/>
    <w:rsid w:val="001D2A70"/>
    <w:rsid w:val="001D3327"/>
    <w:rsid w:val="001D33F2"/>
    <w:rsid w:val="001D4900"/>
    <w:rsid w:val="001D49E1"/>
    <w:rsid w:val="001D7872"/>
    <w:rsid w:val="001E05DF"/>
    <w:rsid w:val="001E1CB3"/>
    <w:rsid w:val="001E25F1"/>
    <w:rsid w:val="001E31A8"/>
    <w:rsid w:val="001E4CA5"/>
    <w:rsid w:val="001E4FC7"/>
    <w:rsid w:val="001E50BC"/>
    <w:rsid w:val="001E58AF"/>
    <w:rsid w:val="001E5A70"/>
    <w:rsid w:val="001E6C3B"/>
    <w:rsid w:val="001E756A"/>
    <w:rsid w:val="001E76A0"/>
    <w:rsid w:val="001E79D9"/>
    <w:rsid w:val="001E7A8F"/>
    <w:rsid w:val="001F1404"/>
    <w:rsid w:val="001F1C10"/>
    <w:rsid w:val="001F1EBB"/>
    <w:rsid w:val="001F2B6F"/>
    <w:rsid w:val="001F3094"/>
    <w:rsid w:val="001F326D"/>
    <w:rsid w:val="001F3FD7"/>
    <w:rsid w:val="001F4B48"/>
    <w:rsid w:val="001F6721"/>
    <w:rsid w:val="001F7CB1"/>
    <w:rsid w:val="0020025A"/>
    <w:rsid w:val="00200A51"/>
    <w:rsid w:val="00200F8E"/>
    <w:rsid w:val="002015DB"/>
    <w:rsid w:val="00201E62"/>
    <w:rsid w:val="002020EC"/>
    <w:rsid w:val="00203925"/>
    <w:rsid w:val="00203F78"/>
    <w:rsid w:val="00204D21"/>
    <w:rsid w:val="00205485"/>
    <w:rsid w:val="00206284"/>
    <w:rsid w:val="00206505"/>
    <w:rsid w:val="0020781E"/>
    <w:rsid w:val="00207827"/>
    <w:rsid w:val="00207EF6"/>
    <w:rsid w:val="002107EE"/>
    <w:rsid w:val="00211037"/>
    <w:rsid w:val="00211508"/>
    <w:rsid w:val="00211ED8"/>
    <w:rsid w:val="002129B5"/>
    <w:rsid w:val="00214B4E"/>
    <w:rsid w:val="002151B4"/>
    <w:rsid w:val="00215B81"/>
    <w:rsid w:val="00215D0E"/>
    <w:rsid w:val="002164E0"/>
    <w:rsid w:val="002165BD"/>
    <w:rsid w:val="00216680"/>
    <w:rsid w:val="00217211"/>
    <w:rsid w:val="0022073E"/>
    <w:rsid w:val="00220B39"/>
    <w:rsid w:val="00220CB2"/>
    <w:rsid w:val="00220F3A"/>
    <w:rsid w:val="00221280"/>
    <w:rsid w:val="002218F0"/>
    <w:rsid w:val="00222005"/>
    <w:rsid w:val="002231E1"/>
    <w:rsid w:val="00224C36"/>
    <w:rsid w:val="002251DE"/>
    <w:rsid w:val="00225492"/>
    <w:rsid w:val="00226B9F"/>
    <w:rsid w:val="00227DFB"/>
    <w:rsid w:val="00227DFE"/>
    <w:rsid w:val="00227F86"/>
    <w:rsid w:val="00230158"/>
    <w:rsid w:val="002302DE"/>
    <w:rsid w:val="00231D41"/>
    <w:rsid w:val="00232A23"/>
    <w:rsid w:val="00232A52"/>
    <w:rsid w:val="002342BD"/>
    <w:rsid w:val="002343EC"/>
    <w:rsid w:val="00234CFE"/>
    <w:rsid w:val="002352A3"/>
    <w:rsid w:val="002366A1"/>
    <w:rsid w:val="00236CF7"/>
    <w:rsid w:val="00240BB4"/>
    <w:rsid w:val="00241785"/>
    <w:rsid w:val="00241A7E"/>
    <w:rsid w:val="00242B10"/>
    <w:rsid w:val="00242C39"/>
    <w:rsid w:val="00242F62"/>
    <w:rsid w:val="00244436"/>
    <w:rsid w:val="00245E5E"/>
    <w:rsid w:val="00246D94"/>
    <w:rsid w:val="0024708F"/>
    <w:rsid w:val="002470B0"/>
    <w:rsid w:val="00250B7B"/>
    <w:rsid w:val="00250DEE"/>
    <w:rsid w:val="0025145F"/>
    <w:rsid w:val="00251646"/>
    <w:rsid w:val="002518AB"/>
    <w:rsid w:val="002520CD"/>
    <w:rsid w:val="00252AD1"/>
    <w:rsid w:val="00252F2E"/>
    <w:rsid w:val="00252FCA"/>
    <w:rsid w:val="00253096"/>
    <w:rsid w:val="002533F7"/>
    <w:rsid w:val="00253F02"/>
    <w:rsid w:val="00254118"/>
    <w:rsid w:val="002543BF"/>
    <w:rsid w:val="00255338"/>
    <w:rsid w:val="002561E9"/>
    <w:rsid w:val="00256C7C"/>
    <w:rsid w:val="00260BA7"/>
    <w:rsid w:val="0026307A"/>
    <w:rsid w:val="00263BCB"/>
    <w:rsid w:val="002640B1"/>
    <w:rsid w:val="0026424A"/>
    <w:rsid w:val="002642BF"/>
    <w:rsid w:val="00264C81"/>
    <w:rsid w:val="00265446"/>
    <w:rsid w:val="00265933"/>
    <w:rsid w:val="0026660B"/>
    <w:rsid w:val="0026694E"/>
    <w:rsid w:val="0026735E"/>
    <w:rsid w:val="002673C5"/>
    <w:rsid w:val="00267AF9"/>
    <w:rsid w:val="0027121D"/>
    <w:rsid w:val="0027160A"/>
    <w:rsid w:val="002723B2"/>
    <w:rsid w:val="002732AD"/>
    <w:rsid w:val="00273FF7"/>
    <w:rsid w:val="002746C5"/>
    <w:rsid w:val="002746E2"/>
    <w:rsid w:val="00275FC6"/>
    <w:rsid w:val="002772ED"/>
    <w:rsid w:val="002773E2"/>
    <w:rsid w:val="00277C7D"/>
    <w:rsid w:val="002809DB"/>
    <w:rsid w:val="00281841"/>
    <w:rsid w:val="00281FCC"/>
    <w:rsid w:val="00282158"/>
    <w:rsid w:val="0028373B"/>
    <w:rsid w:val="00286011"/>
    <w:rsid w:val="002864C0"/>
    <w:rsid w:val="00286927"/>
    <w:rsid w:val="00287D39"/>
    <w:rsid w:val="00290866"/>
    <w:rsid w:val="00290A1E"/>
    <w:rsid w:val="002912B2"/>
    <w:rsid w:val="002914B5"/>
    <w:rsid w:val="002917C4"/>
    <w:rsid w:val="002917EF"/>
    <w:rsid w:val="00292137"/>
    <w:rsid w:val="002927B2"/>
    <w:rsid w:val="00295285"/>
    <w:rsid w:val="00295733"/>
    <w:rsid w:val="00295E86"/>
    <w:rsid w:val="00296C04"/>
    <w:rsid w:val="002A0DEA"/>
    <w:rsid w:val="002A0EB0"/>
    <w:rsid w:val="002A13AC"/>
    <w:rsid w:val="002A244F"/>
    <w:rsid w:val="002A2B9C"/>
    <w:rsid w:val="002A4488"/>
    <w:rsid w:val="002A4762"/>
    <w:rsid w:val="002A58E0"/>
    <w:rsid w:val="002A58F7"/>
    <w:rsid w:val="002A622C"/>
    <w:rsid w:val="002A78B5"/>
    <w:rsid w:val="002B078D"/>
    <w:rsid w:val="002B0822"/>
    <w:rsid w:val="002B0CD2"/>
    <w:rsid w:val="002B305E"/>
    <w:rsid w:val="002B35CF"/>
    <w:rsid w:val="002B4C24"/>
    <w:rsid w:val="002B581C"/>
    <w:rsid w:val="002B5A44"/>
    <w:rsid w:val="002B63DD"/>
    <w:rsid w:val="002B69BD"/>
    <w:rsid w:val="002B6D11"/>
    <w:rsid w:val="002B6D45"/>
    <w:rsid w:val="002B7EEF"/>
    <w:rsid w:val="002B7F42"/>
    <w:rsid w:val="002C05A9"/>
    <w:rsid w:val="002C11BF"/>
    <w:rsid w:val="002C326D"/>
    <w:rsid w:val="002C5E34"/>
    <w:rsid w:val="002C5FF5"/>
    <w:rsid w:val="002C6A1C"/>
    <w:rsid w:val="002C6C28"/>
    <w:rsid w:val="002C6F14"/>
    <w:rsid w:val="002C780F"/>
    <w:rsid w:val="002D004F"/>
    <w:rsid w:val="002D01C0"/>
    <w:rsid w:val="002D048E"/>
    <w:rsid w:val="002D073F"/>
    <w:rsid w:val="002D07E1"/>
    <w:rsid w:val="002D09F5"/>
    <w:rsid w:val="002D0D0E"/>
    <w:rsid w:val="002D175D"/>
    <w:rsid w:val="002D1921"/>
    <w:rsid w:val="002D19B9"/>
    <w:rsid w:val="002D1F9D"/>
    <w:rsid w:val="002D275F"/>
    <w:rsid w:val="002D2D06"/>
    <w:rsid w:val="002D30AE"/>
    <w:rsid w:val="002D337D"/>
    <w:rsid w:val="002D4E67"/>
    <w:rsid w:val="002D539F"/>
    <w:rsid w:val="002D567A"/>
    <w:rsid w:val="002D582A"/>
    <w:rsid w:val="002D70DA"/>
    <w:rsid w:val="002E2741"/>
    <w:rsid w:val="002E350B"/>
    <w:rsid w:val="002E3F8E"/>
    <w:rsid w:val="002E5A45"/>
    <w:rsid w:val="002E627B"/>
    <w:rsid w:val="002E6460"/>
    <w:rsid w:val="002E7C39"/>
    <w:rsid w:val="002F0F48"/>
    <w:rsid w:val="002F1704"/>
    <w:rsid w:val="002F3A90"/>
    <w:rsid w:val="002F4627"/>
    <w:rsid w:val="002F6A33"/>
    <w:rsid w:val="002F6FB1"/>
    <w:rsid w:val="002F7886"/>
    <w:rsid w:val="002F7E0B"/>
    <w:rsid w:val="00300909"/>
    <w:rsid w:val="00302481"/>
    <w:rsid w:val="00302600"/>
    <w:rsid w:val="00302E16"/>
    <w:rsid w:val="00302E24"/>
    <w:rsid w:val="003033A3"/>
    <w:rsid w:val="003035C8"/>
    <w:rsid w:val="003040EB"/>
    <w:rsid w:val="00304BC2"/>
    <w:rsid w:val="003054EB"/>
    <w:rsid w:val="00305F95"/>
    <w:rsid w:val="0030750A"/>
    <w:rsid w:val="00307A9B"/>
    <w:rsid w:val="00307CCF"/>
    <w:rsid w:val="00307FA8"/>
    <w:rsid w:val="003162BC"/>
    <w:rsid w:val="0031662D"/>
    <w:rsid w:val="00316A2A"/>
    <w:rsid w:val="0031781D"/>
    <w:rsid w:val="003201EB"/>
    <w:rsid w:val="00320778"/>
    <w:rsid w:val="00321B17"/>
    <w:rsid w:val="00322B3C"/>
    <w:rsid w:val="00322E1D"/>
    <w:rsid w:val="00323879"/>
    <w:rsid w:val="00324554"/>
    <w:rsid w:val="00324BC4"/>
    <w:rsid w:val="00326C76"/>
    <w:rsid w:val="00326F1D"/>
    <w:rsid w:val="00327755"/>
    <w:rsid w:val="0033017E"/>
    <w:rsid w:val="0033096D"/>
    <w:rsid w:val="00330FC0"/>
    <w:rsid w:val="00331133"/>
    <w:rsid w:val="00331243"/>
    <w:rsid w:val="0033302B"/>
    <w:rsid w:val="00335483"/>
    <w:rsid w:val="00335F9C"/>
    <w:rsid w:val="00336528"/>
    <w:rsid w:val="00336A72"/>
    <w:rsid w:val="00337C3F"/>
    <w:rsid w:val="00337FDA"/>
    <w:rsid w:val="00340812"/>
    <w:rsid w:val="00340D63"/>
    <w:rsid w:val="00342D65"/>
    <w:rsid w:val="00342EAC"/>
    <w:rsid w:val="00343C0E"/>
    <w:rsid w:val="00344433"/>
    <w:rsid w:val="003448EC"/>
    <w:rsid w:val="00345E42"/>
    <w:rsid w:val="00346055"/>
    <w:rsid w:val="00346605"/>
    <w:rsid w:val="00346748"/>
    <w:rsid w:val="00346AA5"/>
    <w:rsid w:val="003474DB"/>
    <w:rsid w:val="003511F5"/>
    <w:rsid w:val="003515C3"/>
    <w:rsid w:val="00351CE0"/>
    <w:rsid w:val="00352675"/>
    <w:rsid w:val="00353672"/>
    <w:rsid w:val="00353E1D"/>
    <w:rsid w:val="003556AE"/>
    <w:rsid w:val="003560BA"/>
    <w:rsid w:val="00357944"/>
    <w:rsid w:val="00357BCC"/>
    <w:rsid w:val="0036144D"/>
    <w:rsid w:val="00361475"/>
    <w:rsid w:val="003617C9"/>
    <w:rsid w:val="00362B5E"/>
    <w:rsid w:val="00363026"/>
    <w:rsid w:val="003638B7"/>
    <w:rsid w:val="00364153"/>
    <w:rsid w:val="003645A3"/>
    <w:rsid w:val="00365269"/>
    <w:rsid w:val="003652FF"/>
    <w:rsid w:val="003667D6"/>
    <w:rsid w:val="00367360"/>
    <w:rsid w:val="00367978"/>
    <w:rsid w:val="00367BC4"/>
    <w:rsid w:val="003708EA"/>
    <w:rsid w:val="00370CEA"/>
    <w:rsid w:val="00371987"/>
    <w:rsid w:val="0037217E"/>
    <w:rsid w:val="00372E51"/>
    <w:rsid w:val="0037305C"/>
    <w:rsid w:val="00375B3F"/>
    <w:rsid w:val="0037658D"/>
    <w:rsid w:val="0037681C"/>
    <w:rsid w:val="00376EDA"/>
    <w:rsid w:val="0037720F"/>
    <w:rsid w:val="0037725B"/>
    <w:rsid w:val="003777A2"/>
    <w:rsid w:val="003779D7"/>
    <w:rsid w:val="00381171"/>
    <w:rsid w:val="00381DF8"/>
    <w:rsid w:val="00382EB4"/>
    <w:rsid w:val="0038439D"/>
    <w:rsid w:val="0038506C"/>
    <w:rsid w:val="00385B39"/>
    <w:rsid w:val="00386AC3"/>
    <w:rsid w:val="0039020E"/>
    <w:rsid w:val="00391374"/>
    <w:rsid w:val="00392134"/>
    <w:rsid w:val="003942F1"/>
    <w:rsid w:val="00394347"/>
    <w:rsid w:val="003949C9"/>
    <w:rsid w:val="0039655C"/>
    <w:rsid w:val="003977E2"/>
    <w:rsid w:val="003A00D3"/>
    <w:rsid w:val="003A0374"/>
    <w:rsid w:val="003A0AB6"/>
    <w:rsid w:val="003A2790"/>
    <w:rsid w:val="003A4D24"/>
    <w:rsid w:val="003A517C"/>
    <w:rsid w:val="003A59A7"/>
    <w:rsid w:val="003A66B9"/>
    <w:rsid w:val="003A78D7"/>
    <w:rsid w:val="003A7B97"/>
    <w:rsid w:val="003A7E4D"/>
    <w:rsid w:val="003B1DD2"/>
    <w:rsid w:val="003B3FFD"/>
    <w:rsid w:val="003B40C6"/>
    <w:rsid w:val="003B4352"/>
    <w:rsid w:val="003B4E51"/>
    <w:rsid w:val="003B5158"/>
    <w:rsid w:val="003B57E5"/>
    <w:rsid w:val="003B5C50"/>
    <w:rsid w:val="003B5D25"/>
    <w:rsid w:val="003B6069"/>
    <w:rsid w:val="003B6085"/>
    <w:rsid w:val="003B73FB"/>
    <w:rsid w:val="003B7496"/>
    <w:rsid w:val="003B75E0"/>
    <w:rsid w:val="003B7CB9"/>
    <w:rsid w:val="003C0BDA"/>
    <w:rsid w:val="003C1765"/>
    <w:rsid w:val="003C2087"/>
    <w:rsid w:val="003C2199"/>
    <w:rsid w:val="003C22D2"/>
    <w:rsid w:val="003C24B5"/>
    <w:rsid w:val="003C4CBC"/>
    <w:rsid w:val="003C5A2A"/>
    <w:rsid w:val="003C5B1B"/>
    <w:rsid w:val="003C5F89"/>
    <w:rsid w:val="003C6DD2"/>
    <w:rsid w:val="003D1533"/>
    <w:rsid w:val="003D1C03"/>
    <w:rsid w:val="003D1DB6"/>
    <w:rsid w:val="003D26C8"/>
    <w:rsid w:val="003D549A"/>
    <w:rsid w:val="003D60CA"/>
    <w:rsid w:val="003D625E"/>
    <w:rsid w:val="003D73D3"/>
    <w:rsid w:val="003D7CFB"/>
    <w:rsid w:val="003E0EA9"/>
    <w:rsid w:val="003E1B61"/>
    <w:rsid w:val="003E1C1A"/>
    <w:rsid w:val="003E1E70"/>
    <w:rsid w:val="003E212F"/>
    <w:rsid w:val="003E26AC"/>
    <w:rsid w:val="003E36D8"/>
    <w:rsid w:val="003E3745"/>
    <w:rsid w:val="003E3E0F"/>
    <w:rsid w:val="003E3F5F"/>
    <w:rsid w:val="003E454E"/>
    <w:rsid w:val="003E590B"/>
    <w:rsid w:val="003E5C1A"/>
    <w:rsid w:val="003E6265"/>
    <w:rsid w:val="003E66DA"/>
    <w:rsid w:val="003E68F1"/>
    <w:rsid w:val="003E7073"/>
    <w:rsid w:val="003E7A1F"/>
    <w:rsid w:val="003F0877"/>
    <w:rsid w:val="003F0D0E"/>
    <w:rsid w:val="003F1AFF"/>
    <w:rsid w:val="003F20E4"/>
    <w:rsid w:val="003F2A9B"/>
    <w:rsid w:val="003F4571"/>
    <w:rsid w:val="003F68D8"/>
    <w:rsid w:val="004006C7"/>
    <w:rsid w:val="00401ABA"/>
    <w:rsid w:val="004023E8"/>
    <w:rsid w:val="00402F42"/>
    <w:rsid w:val="00403D2A"/>
    <w:rsid w:val="00404FB9"/>
    <w:rsid w:val="004059EA"/>
    <w:rsid w:val="004062B0"/>
    <w:rsid w:val="00406B69"/>
    <w:rsid w:val="00406E8D"/>
    <w:rsid w:val="00410514"/>
    <w:rsid w:val="004113F9"/>
    <w:rsid w:val="00411C56"/>
    <w:rsid w:val="00411CAA"/>
    <w:rsid w:val="0041449D"/>
    <w:rsid w:val="004144DF"/>
    <w:rsid w:val="0041461D"/>
    <w:rsid w:val="00414750"/>
    <w:rsid w:val="00414C14"/>
    <w:rsid w:val="00415091"/>
    <w:rsid w:val="004151FB"/>
    <w:rsid w:val="00415E93"/>
    <w:rsid w:val="004178FC"/>
    <w:rsid w:val="004205E8"/>
    <w:rsid w:val="00421938"/>
    <w:rsid w:val="004240FB"/>
    <w:rsid w:val="0042445F"/>
    <w:rsid w:val="00424A9E"/>
    <w:rsid w:val="00424C1D"/>
    <w:rsid w:val="004256A5"/>
    <w:rsid w:val="00426A69"/>
    <w:rsid w:val="00426D9C"/>
    <w:rsid w:val="00426F3B"/>
    <w:rsid w:val="00431A7F"/>
    <w:rsid w:val="00431B24"/>
    <w:rsid w:val="00431F2D"/>
    <w:rsid w:val="0043218E"/>
    <w:rsid w:val="004328DE"/>
    <w:rsid w:val="0043296A"/>
    <w:rsid w:val="00432E48"/>
    <w:rsid w:val="0043333B"/>
    <w:rsid w:val="00434092"/>
    <w:rsid w:val="00435188"/>
    <w:rsid w:val="004355B4"/>
    <w:rsid w:val="004358DB"/>
    <w:rsid w:val="00436CA6"/>
    <w:rsid w:val="0044029F"/>
    <w:rsid w:val="0044129E"/>
    <w:rsid w:val="00441C6F"/>
    <w:rsid w:val="0044221B"/>
    <w:rsid w:val="004440E5"/>
    <w:rsid w:val="00444534"/>
    <w:rsid w:val="004456AB"/>
    <w:rsid w:val="00446413"/>
    <w:rsid w:val="004469F9"/>
    <w:rsid w:val="0045040C"/>
    <w:rsid w:val="004507B9"/>
    <w:rsid w:val="004517F3"/>
    <w:rsid w:val="004518ED"/>
    <w:rsid w:val="00451D48"/>
    <w:rsid w:val="00451ED0"/>
    <w:rsid w:val="0045200F"/>
    <w:rsid w:val="004526A2"/>
    <w:rsid w:val="00453143"/>
    <w:rsid w:val="0045339E"/>
    <w:rsid w:val="0045409E"/>
    <w:rsid w:val="004542EA"/>
    <w:rsid w:val="00454AB9"/>
    <w:rsid w:val="0045688B"/>
    <w:rsid w:val="00456E31"/>
    <w:rsid w:val="004575DB"/>
    <w:rsid w:val="004600B2"/>
    <w:rsid w:val="00462BB9"/>
    <w:rsid w:val="0046346C"/>
    <w:rsid w:val="00463616"/>
    <w:rsid w:val="00463882"/>
    <w:rsid w:val="00464499"/>
    <w:rsid w:val="00465149"/>
    <w:rsid w:val="00466290"/>
    <w:rsid w:val="004666AD"/>
    <w:rsid w:val="004671AB"/>
    <w:rsid w:val="00467F53"/>
    <w:rsid w:val="00471C1E"/>
    <w:rsid w:val="00472E7C"/>
    <w:rsid w:val="00473C7B"/>
    <w:rsid w:val="004741D4"/>
    <w:rsid w:val="00476695"/>
    <w:rsid w:val="004767C3"/>
    <w:rsid w:val="00476AFB"/>
    <w:rsid w:val="00477026"/>
    <w:rsid w:val="0047745B"/>
    <w:rsid w:val="00480EEE"/>
    <w:rsid w:val="004839AF"/>
    <w:rsid w:val="004843B2"/>
    <w:rsid w:val="00484DCB"/>
    <w:rsid w:val="00484DD3"/>
    <w:rsid w:val="00485520"/>
    <w:rsid w:val="004859FD"/>
    <w:rsid w:val="00486047"/>
    <w:rsid w:val="004863A1"/>
    <w:rsid w:val="00487A33"/>
    <w:rsid w:val="00490D60"/>
    <w:rsid w:val="00492DC7"/>
    <w:rsid w:val="00493393"/>
    <w:rsid w:val="00493D28"/>
    <w:rsid w:val="0049432F"/>
    <w:rsid w:val="00494785"/>
    <w:rsid w:val="004948A2"/>
    <w:rsid w:val="00494F9B"/>
    <w:rsid w:val="0049525A"/>
    <w:rsid w:val="00495C2F"/>
    <w:rsid w:val="00495D64"/>
    <w:rsid w:val="004962D8"/>
    <w:rsid w:val="0049650D"/>
    <w:rsid w:val="00497797"/>
    <w:rsid w:val="004A0C97"/>
    <w:rsid w:val="004A0E1A"/>
    <w:rsid w:val="004A1368"/>
    <w:rsid w:val="004A1BCC"/>
    <w:rsid w:val="004A1C34"/>
    <w:rsid w:val="004A3D23"/>
    <w:rsid w:val="004A4F89"/>
    <w:rsid w:val="004A6232"/>
    <w:rsid w:val="004A62B7"/>
    <w:rsid w:val="004A6342"/>
    <w:rsid w:val="004B147A"/>
    <w:rsid w:val="004B2EEB"/>
    <w:rsid w:val="004B30CC"/>
    <w:rsid w:val="004B310C"/>
    <w:rsid w:val="004B3941"/>
    <w:rsid w:val="004B41B4"/>
    <w:rsid w:val="004B4C99"/>
    <w:rsid w:val="004B59B5"/>
    <w:rsid w:val="004B59FB"/>
    <w:rsid w:val="004B5C83"/>
    <w:rsid w:val="004B6C06"/>
    <w:rsid w:val="004B7D0D"/>
    <w:rsid w:val="004C1719"/>
    <w:rsid w:val="004C1B40"/>
    <w:rsid w:val="004C1BA7"/>
    <w:rsid w:val="004C2FFF"/>
    <w:rsid w:val="004C3370"/>
    <w:rsid w:val="004C339D"/>
    <w:rsid w:val="004C4FF6"/>
    <w:rsid w:val="004C60BE"/>
    <w:rsid w:val="004C68EB"/>
    <w:rsid w:val="004C6B99"/>
    <w:rsid w:val="004C6E9E"/>
    <w:rsid w:val="004C713E"/>
    <w:rsid w:val="004D021F"/>
    <w:rsid w:val="004D054E"/>
    <w:rsid w:val="004D05FA"/>
    <w:rsid w:val="004D1AEA"/>
    <w:rsid w:val="004D2269"/>
    <w:rsid w:val="004D2674"/>
    <w:rsid w:val="004D385F"/>
    <w:rsid w:val="004D4D3B"/>
    <w:rsid w:val="004D4E4D"/>
    <w:rsid w:val="004D5C5B"/>
    <w:rsid w:val="004D5CB7"/>
    <w:rsid w:val="004D5E02"/>
    <w:rsid w:val="004D614D"/>
    <w:rsid w:val="004D6155"/>
    <w:rsid w:val="004D6633"/>
    <w:rsid w:val="004D794F"/>
    <w:rsid w:val="004E096E"/>
    <w:rsid w:val="004E09B5"/>
    <w:rsid w:val="004E2C58"/>
    <w:rsid w:val="004E30E7"/>
    <w:rsid w:val="004E3AC7"/>
    <w:rsid w:val="004E3C9D"/>
    <w:rsid w:val="004E417F"/>
    <w:rsid w:val="004E4265"/>
    <w:rsid w:val="004E4CE7"/>
    <w:rsid w:val="004E50FA"/>
    <w:rsid w:val="004E5305"/>
    <w:rsid w:val="004E6603"/>
    <w:rsid w:val="004E6838"/>
    <w:rsid w:val="004F192A"/>
    <w:rsid w:val="004F1C06"/>
    <w:rsid w:val="004F29E6"/>
    <w:rsid w:val="004F2F74"/>
    <w:rsid w:val="004F43A7"/>
    <w:rsid w:val="004F4747"/>
    <w:rsid w:val="004F4D35"/>
    <w:rsid w:val="004F5447"/>
    <w:rsid w:val="004F6EA1"/>
    <w:rsid w:val="00500D62"/>
    <w:rsid w:val="00502074"/>
    <w:rsid w:val="005020F5"/>
    <w:rsid w:val="0050221F"/>
    <w:rsid w:val="00502A17"/>
    <w:rsid w:val="00503380"/>
    <w:rsid w:val="00503EA5"/>
    <w:rsid w:val="00504127"/>
    <w:rsid w:val="0050424B"/>
    <w:rsid w:val="00506288"/>
    <w:rsid w:val="00506C1D"/>
    <w:rsid w:val="00507EAD"/>
    <w:rsid w:val="00510147"/>
    <w:rsid w:val="00510EE0"/>
    <w:rsid w:val="00510FC1"/>
    <w:rsid w:val="00510FDC"/>
    <w:rsid w:val="00511219"/>
    <w:rsid w:val="0051122A"/>
    <w:rsid w:val="00511394"/>
    <w:rsid w:val="00511CB7"/>
    <w:rsid w:val="00512DFD"/>
    <w:rsid w:val="00512EA0"/>
    <w:rsid w:val="005151EC"/>
    <w:rsid w:val="00515667"/>
    <w:rsid w:val="00516523"/>
    <w:rsid w:val="00517326"/>
    <w:rsid w:val="005176EC"/>
    <w:rsid w:val="005207C4"/>
    <w:rsid w:val="005212A5"/>
    <w:rsid w:val="00523691"/>
    <w:rsid w:val="00524520"/>
    <w:rsid w:val="00525356"/>
    <w:rsid w:val="0052576B"/>
    <w:rsid w:val="005257C2"/>
    <w:rsid w:val="005265BA"/>
    <w:rsid w:val="00526D69"/>
    <w:rsid w:val="005304C7"/>
    <w:rsid w:val="00530766"/>
    <w:rsid w:val="00534381"/>
    <w:rsid w:val="00534989"/>
    <w:rsid w:val="00534D22"/>
    <w:rsid w:val="00535CCB"/>
    <w:rsid w:val="005366D2"/>
    <w:rsid w:val="00536835"/>
    <w:rsid w:val="00536E26"/>
    <w:rsid w:val="0053768A"/>
    <w:rsid w:val="005403F2"/>
    <w:rsid w:val="00540DC3"/>
    <w:rsid w:val="005413CB"/>
    <w:rsid w:val="00545819"/>
    <w:rsid w:val="005458B3"/>
    <w:rsid w:val="00546943"/>
    <w:rsid w:val="00546A5E"/>
    <w:rsid w:val="00547241"/>
    <w:rsid w:val="005501FC"/>
    <w:rsid w:val="005502D4"/>
    <w:rsid w:val="0055148B"/>
    <w:rsid w:val="00551803"/>
    <w:rsid w:val="00552B5D"/>
    <w:rsid w:val="00553895"/>
    <w:rsid w:val="00553B60"/>
    <w:rsid w:val="005540CE"/>
    <w:rsid w:val="0055474B"/>
    <w:rsid w:val="00554986"/>
    <w:rsid w:val="00554AFD"/>
    <w:rsid w:val="005552A3"/>
    <w:rsid w:val="00555829"/>
    <w:rsid w:val="0055682D"/>
    <w:rsid w:val="00556C75"/>
    <w:rsid w:val="005571BF"/>
    <w:rsid w:val="00557684"/>
    <w:rsid w:val="00557E69"/>
    <w:rsid w:val="00560276"/>
    <w:rsid w:val="0056087C"/>
    <w:rsid w:val="0056095D"/>
    <w:rsid w:val="00560A6D"/>
    <w:rsid w:val="0056133C"/>
    <w:rsid w:val="00561524"/>
    <w:rsid w:val="00561C53"/>
    <w:rsid w:val="0056200F"/>
    <w:rsid w:val="00562288"/>
    <w:rsid w:val="00563626"/>
    <w:rsid w:val="00563C54"/>
    <w:rsid w:val="0056516C"/>
    <w:rsid w:val="0056668F"/>
    <w:rsid w:val="00566DBA"/>
    <w:rsid w:val="00567262"/>
    <w:rsid w:val="00567532"/>
    <w:rsid w:val="00573AA9"/>
    <w:rsid w:val="005741E8"/>
    <w:rsid w:val="00574885"/>
    <w:rsid w:val="0057495B"/>
    <w:rsid w:val="00574FA7"/>
    <w:rsid w:val="00575E33"/>
    <w:rsid w:val="00575E9B"/>
    <w:rsid w:val="005762C1"/>
    <w:rsid w:val="00576BE8"/>
    <w:rsid w:val="005772EB"/>
    <w:rsid w:val="00577A8F"/>
    <w:rsid w:val="00577C22"/>
    <w:rsid w:val="00577F5D"/>
    <w:rsid w:val="00580260"/>
    <w:rsid w:val="00580774"/>
    <w:rsid w:val="00580A3B"/>
    <w:rsid w:val="00580C05"/>
    <w:rsid w:val="00581FFA"/>
    <w:rsid w:val="00582CFB"/>
    <w:rsid w:val="0058361C"/>
    <w:rsid w:val="00583759"/>
    <w:rsid w:val="00584F3B"/>
    <w:rsid w:val="00585030"/>
    <w:rsid w:val="0058548B"/>
    <w:rsid w:val="00585A8E"/>
    <w:rsid w:val="00585D03"/>
    <w:rsid w:val="00586736"/>
    <w:rsid w:val="00587117"/>
    <w:rsid w:val="005877F3"/>
    <w:rsid w:val="00590576"/>
    <w:rsid w:val="00591C41"/>
    <w:rsid w:val="00591C96"/>
    <w:rsid w:val="005922F6"/>
    <w:rsid w:val="0059234B"/>
    <w:rsid w:val="005925BD"/>
    <w:rsid w:val="005932ED"/>
    <w:rsid w:val="005932F7"/>
    <w:rsid w:val="00594288"/>
    <w:rsid w:val="00594AEA"/>
    <w:rsid w:val="00594C8E"/>
    <w:rsid w:val="00595156"/>
    <w:rsid w:val="00595CC5"/>
    <w:rsid w:val="00597C28"/>
    <w:rsid w:val="005A0055"/>
    <w:rsid w:val="005A0224"/>
    <w:rsid w:val="005A0B85"/>
    <w:rsid w:val="005A1C51"/>
    <w:rsid w:val="005A359D"/>
    <w:rsid w:val="005A46D1"/>
    <w:rsid w:val="005A4FA0"/>
    <w:rsid w:val="005A5B6C"/>
    <w:rsid w:val="005A5F4B"/>
    <w:rsid w:val="005A68FB"/>
    <w:rsid w:val="005A775E"/>
    <w:rsid w:val="005A7F0F"/>
    <w:rsid w:val="005B101A"/>
    <w:rsid w:val="005B1107"/>
    <w:rsid w:val="005B1AC4"/>
    <w:rsid w:val="005B218B"/>
    <w:rsid w:val="005B3317"/>
    <w:rsid w:val="005B34A6"/>
    <w:rsid w:val="005B3F34"/>
    <w:rsid w:val="005B4512"/>
    <w:rsid w:val="005B4559"/>
    <w:rsid w:val="005B4B5E"/>
    <w:rsid w:val="005B5FB9"/>
    <w:rsid w:val="005B6BFE"/>
    <w:rsid w:val="005B7161"/>
    <w:rsid w:val="005B7481"/>
    <w:rsid w:val="005C2A58"/>
    <w:rsid w:val="005C3596"/>
    <w:rsid w:val="005C35ED"/>
    <w:rsid w:val="005C3827"/>
    <w:rsid w:val="005C3B40"/>
    <w:rsid w:val="005C5B60"/>
    <w:rsid w:val="005C6C27"/>
    <w:rsid w:val="005C73AA"/>
    <w:rsid w:val="005C7AF2"/>
    <w:rsid w:val="005C7E12"/>
    <w:rsid w:val="005D0A76"/>
    <w:rsid w:val="005D109B"/>
    <w:rsid w:val="005D1668"/>
    <w:rsid w:val="005D173C"/>
    <w:rsid w:val="005D2A12"/>
    <w:rsid w:val="005D47A8"/>
    <w:rsid w:val="005D523C"/>
    <w:rsid w:val="005D5332"/>
    <w:rsid w:val="005D6754"/>
    <w:rsid w:val="005D74FD"/>
    <w:rsid w:val="005D7617"/>
    <w:rsid w:val="005D776E"/>
    <w:rsid w:val="005D78A0"/>
    <w:rsid w:val="005E1616"/>
    <w:rsid w:val="005E2891"/>
    <w:rsid w:val="005E54BD"/>
    <w:rsid w:val="005E5981"/>
    <w:rsid w:val="005E62A0"/>
    <w:rsid w:val="005E62CF"/>
    <w:rsid w:val="005E6305"/>
    <w:rsid w:val="005E633D"/>
    <w:rsid w:val="005E767D"/>
    <w:rsid w:val="005E7BF5"/>
    <w:rsid w:val="005F1655"/>
    <w:rsid w:val="005F16E5"/>
    <w:rsid w:val="005F1A84"/>
    <w:rsid w:val="005F1B6C"/>
    <w:rsid w:val="005F371E"/>
    <w:rsid w:val="005F428C"/>
    <w:rsid w:val="005F49FE"/>
    <w:rsid w:val="005F6A84"/>
    <w:rsid w:val="005F6E58"/>
    <w:rsid w:val="00600468"/>
    <w:rsid w:val="006010D1"/>
    <w:rsid w:val="00601445"/>
    <w:rsid w:val="00601AE6"/>
    <w:rsid w:val="006021DE"/>
    <w:rsid w:val="006022B0"/>
    <w:rsid w:val="00602A2C"/>
    <w:rsid w:val="00602DCF"/>
    <w:rsid w:val="00603D16"/>
    <w:rsid w:val="00604EC9"/>
    <w:rsid w:val="00605C08"/>
    <w:rsid w:val="00606746"/>
    <w:rsid w:val="00607FF5"/>
    <w:rsid w:val="00610341"/>
    <w:rsid w:val="0061242D"/>
    <w:rsid w:val="0061259E"/>
    <w:rsid w:val="00612BBE"/>
    <w:rsid w:val="00612BED"/>
    <w:rsid w:val="006133CA"/>
    <w:rsid w:val="00613830"/>
    <w:rsid w:val="006139C6"/>
    <w:rsid w:val="00613A8C"/>
    <w:rsid w:val="00614582"/>
    <w:rsid w:val="006149E7"/>
    <w:rsid w:val="00614C81"/>
    <w:rsid w:val="00616733"/>
    <w:rsid w:val="00616A1C"/>
    <w:rsid w:val="00617048"/>
    <w:rsid w:val="006216B0"/>
    <w:rsid w:val="006233B9"/>
    <w:rsid w:val="00623736"/>
    <w:rsid w:val="006248C4"/>
    <w:rsid w:val="006252D7"/>
    <w:rsid w:val="006253B0"/>
    <w:rsid w:val="00625567"/>
    <w:rsid w:val="006257BF"/>
    <w:rsid w:val="00625B1D"/>
    <w:rsid w:val="00626039"/>
    <w:rsid w:val="006271A5"/>
    <w:rsid w:val="00627A77"/>
    <w:rsid w:val="00630259"/>
    <w:rsid w:val="006325F6"/>
    <w:rsid w:val="006326E0"/>
    <w:rsid w:val="006335BE"/>
    <w:rsid w:val="006336C1"/>
    <w:rsid w:val="006339C8"/>
    <w:rsid w:val="00633A5C"/>
    <w:rsid w:val="00633B0D"/>
    <w:rsid w:val="00633BB0"/>
    <w:rsid w:val="00634671"/>
    <w:rsid w:val="006346C3"/>
    <w:rsid w:val="0063592B"/>
    <w:rsid w:val="00636810"/>
    <w:rsid w:val="00636B19"/>
    <w:rsid w:val="00636B7C"/>
    <w:rsid w:val="006405C9"/>
    <w:rsid w:val="00641064"/>
    <w:rsid w:val="006412C4"/>
    <w:rsid w:val="0064298F"/>
    <w:rsid w:val="00643780"/>
    <w:rsid w:val="0064465C"/>
    <w:rsid w:val="00644CF2"/>
    <w:rsid w:val="00644D08"/>
    <w:rsid w:val="00645CF5"/>
    <w:rsid w:val="00646E01"/>
    <w:rsid w:val="00647B30"/>
    <w:rsid w:val="00650910"/>
    <w:rsid w:val="00650F0D"/>
    <w:rsid w:val="006510EA"/>
    <w:rsid w:val="00651181"/>
    <w:rsid w:val="006514D6"/>
    <w:rsid w:val="006515BE"/>
    <w:rsid w:val="006523BF"/>
    <w:rsid w:val="00652753"/>
    <w:rsid w:val="006529CA"/>
    <w:rsid w:val="00653271"/>
    <w:rsid w:val="00653309"/>
    <w:rsid w:val="0065332D"/>
    <w:rsid w:val="00653A8A"/>
    <w:rsid w:val="00654877"/>
    <w:rsid w:val="0065572E"/>
    <w:rsid w:val="00655AEB"/>
    <w:rsid w:val="00657A7B"/>
    <w:rsid w:val="00657B65"/>
    <w:rsid w:val="00657DC9"/>
    <w:rsid w:val="00657EB4"/>
    <w:rsid w:val="00660984"/>
    <w:rsid w:val="00661598"/>
    <w:rsid w:val="0066187B"/>
    <w:rsid w:val="00661F4A"/>
    <w:rsid w:val="00661FBC"/>
    <w:rsid w:val="006637C5"/>
    <w:rsid w:val="00663A50"/>
    <w:rsid w:val="006642DB"/>
    <w:rsid w:val="00664615"/>
    <w:rsid w:val="006651AA"/>
    <w:rsid w:val="00665D1C"/>
    <w:rsid w:val="00666857"/>
    <w:rsid w:val="00667A0D"/>
    <w:rsid w:val="00670E67"/>
    <w:rsid w:val="006736AF"/>
    <w:rsid w:val="00674D34"/>
    <w:rsid w:val="006758C9"/>
    <w:rsid w:val="00675CA5"/>
    <w:rsid w:val="00676DAD"/>
    <w:rsid w:val="006772B8"/>
    <w:rsid w:val="00677D8C"/>
    <w:rsid w:val="0068040B"/>
    <w:rsid w:val="00681FD8"/>
    <w:rsid w:val="00684675"/>
    <w:rsid w:val="0068468D"/>
    <w:rsid w:val="00684B7E"/>
    <w:rsid w:val="00684CB6"/>
    <w:rsid w:val="00685631"/>
    <w:rsid w:val="0068662E"/>
    <w:rsid w:val="00686D63"/>
    <w:rsid w:val="00687422"/>
    <w:rsid w:val="006876AF"/>
    <w:rsid w:val="0069006F"/>
    <w:rsid w:val="00690161"/>
    <w:rsid w:val="00691BFC"/>
    <w:rsid w:val="00692AFE"/>
    <w:rsid w:val="0069303E"/>
    <w:rsid w:val="0069430E"/>
    <w:rsid w:val="006943BE"/>
    <w:rsid w:val="00694F09"/>
    <w:rsid w:val="00695AE0"/>
    <w:rsid w:val="00695EF7"/>
    <w:rsid w:val="00697225"/>
    <w:rsid w:val="00697A8E"/>
    <w:rsid w:val="006A01DF"/>
    <w:rsid w:val="006A1309"/>
    <w:rsid w:val="006A2A8D"/>
    <w:rsid w:val="006A4104"/>
    <w:rsid w:val="006A4976"/>
    <w:rsid w:val="006A4B67"/>
    <w:rsid w:val="006A5021"/>
    <w:rsid w:val="006A5D2D"/>
    <w:rsid w:val="006A6891"/>
    <w:rsid w:val="006A6B49"/>
    <w:rsid w:val="006A7235"/>
    <w:rsid w:val="006A780E"/>
    <w:rsid w:val="006A790E"/>
    <w:rsid w:val="006A7FF2"/>
    <w:rsid w:val="006B05EE"/>
    <w:rsid w:val="006B0DBD"/>
    <w:rsid w:val="006B1039"/>
    <w:rsid w:val="006B1667"/>
    <w:rsid w:val="006B1D2C"/>
    <w:rsid w:val="006B2EC6"/>
    <w:rsid w:val="006B32C0"/>
    <w:rsid w:val="006B35C9"/>
    <w:rsid w:val="006B4652"/>
    <w:rsid w:val="006B4DF1"/>
    <w:rsid w:val="006B5715"/>
    <w:rsid w:val="006B6BCD"/>
    <w:rsid w:val="006B71D9"/>
    <w:rsid w:val="006B7F66"/>
    <w:rsid w:val="006C122E"/>
    <w:rsid w:val="006C17A5"/>
    <w:rsid w:val="006C2219"/>
    <w:rsid w:val="006C2EE1"/>
    <w:rsid w:val="006C3A54"/>
    <w:rsid w:val="006C44EF"/>
    <w:rsid w:val="006C4627"/>
    <w:rsid w:val="006C5505"/>
    <w:rsid w:val="006C5E04"/>
    <w:rsid w:val="006C5E33"/>
    <w:rsid w:val="006C6725"/>
    <w:rsid w:val="006C699E"/>
    <w:rsid w:val="006C6B9C"/>
    <w:rsid w:val="006D1FCA"/>
    <w:rsid w:val="006D2209"/>
    <w:rsid w:val="006D2D28"/>
    <w:rsid w:val="006D31F7"/>
    <w:rsid w:val="006D4248"/>
    <w:rsid w:val="006D4BEF"/>
    <w:rsid w:val="006D4C98"/>
    <w:rsid w:val="006D56DB"/>
    <w:rsid w:val="006D58C1"/>
    <w:rsid w:val="006D64BC"/>
    <w:rsid w:val="006D656F"/>
    <w:rsid w:val="006D6B67"/>
    <w:rsid w:val="006D78D0"/>
    <w:rsid w:val="006D7C26"/>
    <w:rsid w:val="006D7D0F"/>
    <w:rsid w:val="006E0550"/>
    <w:rsid w:val="006E101A"/>
    <w:rsid w:val="006E11C0"/>
    <w:rsid w:val="006E15EE"/>
    <w:rsid w:val="006E1A59"/>
    <w:rsid w:val="006E1B40"/>
    <w:rsid w:val="006E28BF"/>
    <w:rsid w:val="006E2B8C"/>
    <w:rsid w:val="006E2C10"/>
    <w:rsid w:val="006E2EFE"/>
    <w:rsid w:val="006E3600"/>
    <w:rsid w:val="006E46B9"/>
    <w:rsid w:val="006E4C32"/>
    <w:rsid w:val="006E5CC5"/>
    <w:rsid w:val="006E6888"/>
    <w:rsid w:val="006E69F8"/>
    <w:rsid w:val="006E6D44"/>
    <w:rsid w:val="006E71E7"/>
    <w:rsid w:val="006E751A"/>
    <w:rsid w:val="006E791A"/>
    <w:rsid w:val="006F0069"/>
    <w:rsid w:val="006F0567"/>
    <w:rsid w:val="006F1C6B"/>
    <w:rsid w:val="006F2CDC"/>
    <w:rsid w:val="006F2CE5"/>
    <w:rsid w:val="006F3052"/>
    <w:rsid w:val="006F3766"/>
    <w:rsid w:val="006F4389"/>
    <w:rsid w:val="006F5C81"/>
    <w:rsid w:val="006F6CBA"/>
    <w:rsid w:val="006F6DA4"/>
    <w:rsid w:val="006F70EC"/>
    <w:rsid w:val="006F716B"/>
    <w:rsid w:val="007026AA"/>
    <w:rsid w:val="00703199"/>
    <w:rsid w:val="00703E68"/>
    <w:rsid w:val="0070533A"/>
    <w:rsid w:val="007055D5"/>
    <w:rsid w:val="00706470"/>
    <w:rsid w:val="00707535"/>
    <w:rsid w:val="00707C61"/>
    <w:rsid w:val="007104C4"/>
    <w:rsid w:val="00710CEA"/>
    <w:rsid w:val="0071249F"/>
    <w:rsid w:val="00713AA3"/>
    <w:rsid w:val="00715A42"/>
    <w:rsid w:val="007168E9"/>
    <w:rsid w:val="0071795F"/>
    <w:rsid w:val="00717CAF"/>
    <w:rsid w:val="007209AF"/>
    <w:rsid w:val="007215EB"/>
    <w:rsid w:val="007218B4"/>
    <w:rsid w:val="007219D0"/>
    <w:rsid w:val="00723C69"/>
    <w:rsid w:val="00730BB8"/>
    <w:rsid w:val="0073188F"/>
    <w:rsid w:val="007320B0"/>
    <w:rsid w:val="007330ED"/>
    <w:rsid w:val="007346DA"/>
    <w:rsid w:val="00734FE1"/>
    <w:rsid w:val="00736A30"/>
    <w:rsid w:val="00736E5D"/>
    <w:rsid w:val="0073759B"/>
    <w:rsid w:val="007376E5"/>
    <w:rsid w:val="00737B98"/>
    <w:rsid w:val="0074064A"/>
    <w:rsid w:val="00740A02"/>
    <w:rsid w:val="007415AD"/>
    <w:rsid w:val="00742511"/>
    <w:rsid w:val="00742F7B"/>
    <w:rsid w:val="00743315"/>
    <w:rsid w:val="00743B5C"/>
    <w:rsid w:val="00743E80"/>
    <w:rsid w:val="007441E5"/>
    <w:rsid w:val="00744DB9"/>
    <w:rsid w:val="007452FC"/>
    <w:rsid w:val="00745E54"/>
    <w:rsid w:val="00746640"/>
    <w:rsid w:val="0075022F"/>
    <w:rsid w:val="00751F23"/>
    <w:rsid w:val="007525A2"/>
    <w:rsid w:val="007528C4"/>
    <w:rsid w:val="0075297D"/>
    <w:rsid w:val="00752A6C"/>
    <w:rsid w:val="00752C15"/>
    <w:rsid w:val="007531B7"/>
    <w:rsid w:val="00753374"/>
    <w:rsid w:val="00754369"/>
    <w:rsid w:val="00756556"/>
    <w:rsid w:val="0075734E"/>
    <w:rsid w:val="00761C82"/>
    <w:rsid w:val="00761CFE"/>
    <w:rsid w:val="00761F8C"/>
    <w:rsid w:val="00762818"/>
    <w:rsid w:val="00764774"/>
    <w:rsid w:val="007657CF"/>
    <w:rsid w:val="007662F6"/>
    <w:rsid w:val="00766637"/>
    <w:rsid w:val="00767A64"/>
    <w:rsid w:val="007708EF"/>
    <w:rsid w:val="0077144A"/>
    <w:rsid w:val="00773736"/>
    <w:rsid w:val="007740BC"/>
    <w:rsid w:val="0077473B"/>
    <w:rsid w:val="007752B8"/>
    <w:rsid w:val="00776048"/>
    <w:rsid w:val="00776AEC"/>
    <w:rsid w:val="007777A2"/>
    <w:rsid w:val="00777E8E"/>
    <w:rsid w:val="007802CD"/>
    <w:rsid w:val="00780EE6"/>
    <w:rsid w:val="00781178"/>
    <w:rsid w:val="00781345"/>
    <w:rsid w:val="00781DD1"/>
    <w:rsid w:val="007820C1"/>
    <w:rsid w:val="007828FE"/>
    <w:rsid w:val="00785016"/>
    <w:rsid w:val="007858B3"/>
    <w:rsid w:val="0078594D"/>
    <w:rsid w:val="00785FF8"/>
    <w:rsid w:val="0078701F"/>
    <w:rsid w:val="007870F9"/>
    <w:rsid w:val="00787C53"/>
    <w:rsid w:val="00790874"/>
    <w:rsid w:val="007908E3"/>
    <w:rsid w:val="00790B31"/>
    <w:rsid w:val="00790B8C"/>
    <w:rsid w:val="00791983"/>
    <w:rsid w:val="00791B32"/>
    <w:rsid w:val="00791E59"/>
    <w:rsid w:val="00792A99"/>
    <w:rsid w:val="007939EC"/>
    <w:rsid w:val="00793CBA"/>
    <w:rsid w:val="00793D0F"/>
    <w:rsid w:val="0079429A"/>
    <w:rsid w:val="0079508D"/>
    <w:rsid w:val="00795E45"/>
    <w:rsid w:val="0079647B"/>
    <w:rsid w:val="00797197"/>
    <w:rsid w:val="00797543"/>
    <w:rsid w:val="007A0450"/>
    <w:rsid w:val="007A04D7"/>
    <w:rsid w:val="007A09BB"/>
    <w:rsid w:val="007A0F2F"/>
    <w:rsid w:val="007A243C"/>
    <w:rsid w:val="007A3494"/>
    <w:rsid w:val="007A3F4D"/>
    <w:rsid w:val="007A4380"/>
    <w:rsid w:val="007A5CAF"/>
    <w:rsid w:val="007A5E0C"/>
    <w:rsid w:val="007A6BC6"/>
    <w:rsid w:val="007A6F5A"/>
    <w:rsid w:val="007A7EA4"/>
    <w:rsid w:val="007B0230"/>
    <w:rsid w:val="007B0C42"/>
    <w:rsid w:val="007B0C9E"/>
    <w:rsid w:val="007B1966"/>
    <w:rsid w:val="007B1E30"/>
    <w:rsid w:val="007B31D9"/>
    <w:rsid w:val="007B37D9"/>
    <w:rsid w:val="007B68D7"/>
    <w:rsid w:val="007C0E5F"/>
    <w:rsid w:val="007C0E7C"/>
    <w:rsid w:val="007C0FB6"/>
    <w:rsid w:val="007C1336"/>
    <w:rsid w:val="007C220C"/>
    <w:rsid w:val="007C2A73"/>
    <w:rsid w:val="007C302E"/>
    <w:rsid w:val="007C4ABB"/>
    <w:rsid w:val="007C5ABA"/>
    <w:rsid w:val="007C5B5D"/>
    <w:rsid w:val="007C66D8"/>
    <w:rsid w:val="007C6AE4"/>
    <w:rsid w:val="007C6D97"/>
    <w:rsid w:val="007C6E24"/>
    <w:rsid w:val="007D14C3"/>
    <w:rsid w:val="007D2E19"/>
    <w:rsid w:val="007D4231"/>
    <w:rsid w:val="007D4497"/>
    <w:rsid w:val="007D4616"/>
    <w:rsid w:val="007D5C2D"/>
    <w:rsid w:val="007D5EF3"/>
    <w:rsid w:val="007D6CA7"/>
    <w:rsid w:val="007E0334"/>
    <w:rsid w:val="007E0CFD"/>
    <w:rsid w:val="007E265C"/>
    <w:rsid w:val="007E36D0"/>
    <w:rsid w:val="007E3CDB"/>
    <w:rsid w:val="007E41EE"/>
    <w:rsid w:val="007E478D"/>
    <w:rsid w:val="007E5211"/>
    <w:rsid w:val="007E6602"/>
    <w:rsid w:val="007E71D0"/>
    <w:rsid w:val="007F060F"/>
    <w:rsid w:val="007F0C65"/>
    <w:rsid w:val="007F27E5"/>
    <w:rsid w:val="007F369A"/>
    <w:rsid w:val="007F451F"/>
    <w:rsid w:val="007F4D82"/>
    <w:rsid w:val="007F59AD"/>
    <w:rsid w:val="007F631E"/>
    <w:rsid w:val="007F73AD"/>
    <w:rsid w:val="007F7800"/>
    <w:rsid w:val="007F79BB"/>
    <w:rsid w:val="008000AB"/>
    <w:rsid w:val="00800724"/>
    <w:rsid w:val="0080091E"/>
    <w:rsid w:val="008009E2"/>
    <w:rsid w:val="00800BC0"/>
    <w:rsid w:val="008010BA"/>
    <w:rsid w:val="00803106"/>
    <w:rsid w:val="008035B3"/>
    <w:rsid w:val="008035D2"/>
    <w:rsid w:val="008053D2"/>
    <w:rsid w:val="008054D5"/>
    <w:rsid w:val="00805B87"/>
    <w:rsid w:val="00805CF8"/>
    <w:rsid w:val="008063C7"/>
    <w:rsid w:val="00806813"/>
    <w:rsid w:val="00806AA5"/>
    <w:rsid w:val="00806D55"/>
    <w:rsid w:val="00807E68"/>
    <w:rsid w:val="00812C14"/>
    <w:rsid w:val="00813029"/>
    <w:rsid w:val="00813175"/>
    <w:rsid w:val="008132BC"/>
    <w:rsid w:val="00814AB0"/>
    <w:rsid w:val="008150D0"/>
    <w:rsid w:val="00815159"/>
    <w:rsid w:val="0081697F"/>
    <w:rsid w:val="008200B7"/>
    <w:rsid w:val="008205CD"/>
    <w:rsid w:val="00820807"/>
    <w:rsid w:val="00821074"/>
    <w:rsid w:val="00821350"/>
    <w:rsid w:val="00821630"/>
    <w:rsid w:val="00822A6D"/>
    <w:rsid w:val="00823211"/>
    <w:rsid w:val="00823FF9"/>
    <w:rsid w:val="00825AD2"/>
    <w:rsid w:val="00825E79"/>
    <w:rsid w:val="00826886"/>
    <w:rsid w:val="00827C04"/>
    <w:rsid w:val="00827C56"/>
    <w:rsid w:val="00827D9E"/>
    <w:rsid w:val="008304DC"/>
    <w:rsid w:val="00831A1B"/>
    <w:rsid w:val="00831A3C"/>
    <w:rsid w:val="00831E8C"/>
    <w:rsid w:val="00831F42"/>
    <w:rsid w:val="00832537"/>
    <w:rsid w:val="0083269B"/>
    <w:rsid w:val="0083309D"/>
    <w:rsid w:val="00834484"/>
    <w:rsid w:val="008347B1"/>
    <w:rsid w:val="00834C43"/>
    <w:rsid w:val="00834C6C"/>
    <w:rsid w:val="00834CC0"/>
    <w:rsid w:val="00834DE9"/>
    <w:rsid w:val="00835157"/>
    <w:rsid w:val="0083601F"/>
    <w:rsid w:val="00836208"/>
    <w:rsid w:val="00840BDE"/>
    <w:rsid w:val="008410FB"/>
    <w:rsid w:val="008412EF"/>
    <w:rsid w:val="0084187C"/>
    <w:rsid w:val="00841F59"/>
    <w:rsid w:val="00842977"/>
    <w:rsid w:val="00843574"/>
    <w:rsid w:val="008452C2"/>
    <w:rsid w:val="008456B2"/>
    <w:rsid w:val="00845C6F"/>
    <w:rsid w:val="00846863"/>
    <w:rsid w:val="00847665"/>
    <w:rsid w:val="0085062D"/>
    <w:rsid w:val="00850AEE"/>
    <w:rsid w:val="0085145D"/>
    <w:rsid w:val="00852D9D"/>
    <w:rsid w:val="00853721"/>
    <w:rsid w:val="008544F6"/>
    <w:rsid w:val="008557BB"/>
    <w:rsid w:val="00856D5A"/>
    <w:rsid w:val="0085799D"/>
    <w:rsid w:val="00857AC1"/>
    <w:rsid w:val="00860C13"/>
    <w:rsid w:val="008611B8"/>
    <w:rsid w:val="00861276"/>
    <w:rsid w:val="00861632"/>
    <w:rsid w:val="00861A60"/>
    <w:rsid w:val="008626E8"/>
    <w:rsid w:val="00862F78"/>
    <w:rsid w:val="00863154"/>
    <w:rsid w:val="008636DB"/>
    <w:rsid w:val="008638ED"/>
    <w:rsid w:val="00863E9F"/>
    <w:rsid w:val="00864A24"/>
    <w:rsid w:val="00866E77"/>
    <w:rsid w:val="00867983"/>
    <w:rsid w:val="00867D7C"/>
    <w:rsid w:val="008710D0"/>
    <w:rsid w:val="008729F6"/>
    <w:rsid w:val="00873A64"/>
    <w:rsid w:val="008741A6"/>
    <w:rsid w:val="0087446F"/>
    <w:rsid w:val="0087498B"/>
    <w:rsid w:val="00874BEE"/>
    <w:rsid w:val="008751F2"/>
    <w:rsid w:val="0087530F"/>
    <w:rsid w:val="0087561E"/>
    <w:rsid w:val="00876865"/>
    <w:rsid w:val="008777D7"/>
    <w:rsid w:val="008814D3"/>
    <w:rsid w:val="00881A78"/>
    <w:rsid w:val="00881E93"/>
    <w:rsid w:val="00882163"/>
    <w:rsid w:val="00882278"/>
    <w:rsid w:val="008824AC"/>
    <w:rsid w:val="00882EAF"/>
    <w:rsid w:val="00883EB8"/>
    <w:rsid w:val="0088508B"/>
    <w:rsid w:val="008858A2"/>
    <w:rsid w:val="008861DC"/>
    <w:rsid w:val="00886724"/>
    <w:rsid w:val="00886C2E"/>
    <w:rsid w:val="008870E0"/>
    <w:rsid w:val="00887C47"/>
    <w:rsid w:val="0089032F"/>
    <w:rsid w:val="008908A4"/>
    <w:rsid w:val="00890DD2"/>
    <w:rsid w:val="008918A4"/>
    <w:rsid w:val="00891A88"/>
    <w:rsid w:val="008938BE"/>
    <w:rsid w:val="008943A8"/>
    <w:rsid w:val="0089449F"/>
    <w:rsid w:val="00894D8B"/>
    <w:rsid w:val="008950F1"/>
    <w:rsid w:val="00896014"/>
    <w:rsid w:val="00896027"/>
    <w:rsid w:val="00896682"/>
    <w:rsid w:val="008A019D"/>
    <w:rsid w:val="008A039E"/>
    <w:rsid w:val="008A21AB"/>
    <w:rsid w:val="008A2914"/>
    <w:rsid w:val="008A2CD2"/>
    <w:rsid w:val="008A3517"/>
    <w:rsid w:val="008A47B3"/>
    <w:rsid w:val="008A4BE5"/>
    <w:rsid w:val="008A5770"/>
    <w:rsid w:val="008A5A94"/>
    <w:rsid w:val="008A5BD4"/>
    <w:rsid w:val="008A6D52"/>
    <w:rsid w:val="008A77F8"/>
    <w:rsid w:val="008B0349"/>
    <w:rsid w:val="008B0607"/>
    <w:rsid w:val="008B1298"/>
    <w:rsid w:val="008B16D6"/>
    <w:rsid w:val="008B29B3"/>
    <w:rsid w:val="008B2CC8"/>
    <w:rsid w:val="008B2CCE"/>
    <w:rsid w:val="008B2E49"/>
    <w:rsid w:val="008B3438"/>
    <w:rsid w:val="008B7119"/>
    <w:rsid w:val="008B7183"/>
    <w:rsid w:val="008B748F"/>
    <w:rsid w:val="008B759B"/>
    <w:rsid w:val="008C1972"/>
    <w:rsid w:val="008C1DDF"/>
    <w:rsid w:val="008C22B5"/>
    <w:rsid w:val="008C3D40"/>
    <w:rsid w:val="008C4888"/>
    <w:rsid w:val="008C493D"/>
    <w:rsid w:val="008C6475"/>
    <w:rsid w:val="008C6F1B"/>
    <w:rsid w:val="008C6FF4"/>
    <w:rsid w:val="008C7A4C"/>
    <w:rsid w:val="008D0EB0"/>
    <w:rsid w:val="008D0EC9"/>
    <w:rsid w:val="008D31C1"/>
    <w:rsid w:val="008D3955"/>
    <w:rsid w:val="008D5FCD"/>
    <w:rsid w:val="008D66C4"/>
    <w:rsid w:val="008D6DDE"/>
    <w:rsid w:val="008D7739"/>
    <w:rsid w:val="008E008B"/>
    <w:rsid w:val="008E00BF"/>
    <w:rsid w:val="008E1BD8"/>
    <w:rsid w:val="008E2057"/>
    <w:rsid w:val="008E208E"/>
    <w:rsid w:val="008E351A"/>
    <w:rsid w:val="008E428A"/>
    <w:rsid w:val="008E4D5C"/>
    <w:rsid w:val="008E56D7"/>
    <w:rsid w:val="008E56D8"/>
    <w:rsid w:val="008E64DB"/>
    <w:rsid w:val="008E6CDF"/>
    <w:rsid w:val="008E6E17"/>
    <w:rsid w:val="008E73B5"/>
    <w:rsid w:val="008E767A"/>
    <w:rsid w:val="008E78B8"/>
    <w:rsid w:val="008F0049"/>
    <w:rsid w:val="008F007D"/>
    <w:rsid w:val="008F3F37"/>
    <w:rsid w:val="008F46CF"/>
    <w:rsid w:val="008F4CF8"/>
    <w:rsid w:val="008F542B"/>
    <w:rsid w:val="008F554C"/>
    <w:rsid w:val="008F6047"/>
    <w:rsid w:val="008F6200"/>
    <w:rsid w:val="008F6899"/>
    <w:rsid w:val="008F77B2"/>
    <w:rsid w:val="008F7B73"/>
    <w:rsid w:val="009000FA"/>
    <w:rsid w:val="00900650"/>
    <w:rsid w:val="00900F9E"/>
    <w:rsid w:val="009010CC"/>
    <w:rsid w:val="00901375"/>
    <w:rsid w:val="00901A13"/>
    <w:rsid w:val="00901BE2"/>
    <w:rsid w:val="0090209E"/>
    <w:rsid w:val="00902DC6"/>
    <w:rsid w:val="00904218"/>
    <w:rsid w:val="00904CF0"/>
    <w:rsid w:val="00904E8A"/>
    <w:rsid w:val="009055A1"/>
    <w:rsid w:val="009075B3"/>
    <w:rsid w:val="00907F0A"/>
    <w:rsid w:val="009104D1"/>
    <w:rsid w:val="00910B52"/>
    <w:rsid w:val="00911F2D"/>
    <w:rsid w:val="009125DA"/>
    <w:rsid w:val="0091574D"/>
    <w:rsid w:val="00915C6A"/>
    <w:rsid w:val="009161EE"/>
    <w:rsid w:val="00916753"/>
    <w:rsid w:val="009168F8"/>
    <w:rsid w:val="00916F8F"/>
    <w:rsid w:val="009173EC"/>
    <w:rsid w:val="00917510"/>
    <w:rsid w:val="009209A0"/>
    <w:rsid w:val="00920FC6"/>
    <w:rsid w:val="0092346E"/>
    <w:rsid w:val="00924458"/>
    <w:rsid w:val="0092455C"/>
    <w:rsid w:val="00925466"/>
    <w:rsid w:val="0092569C"/>
    <w:rsid w:val="00926348"/>
    <w:rsid w:val="009265BA"/>
    <w:rsid w:val="009268A5"/>
    <w:rsid w:val="00927D41"/>
    <w:rsid w:val="009324D4"/>
    <w:rsid w:val="00932560"/>
    <w:rsid w:val="009327EB"/>
    <w:rsid w:val="009329AC"/>
    <w:rsid w:val="00932DF9"/>
    <w:rsid w:val="00933195"/>
    <w:rsid w:val="00934994"/>
    <w:rsid w:val="00935199"/>
    <w:rsid w:val="00935A7A"/>
    <w:rsid w:val="00935C49"/>
    <w:rsid w:val="0093635F"/>
    <w:rsid w:val="00937414"/>
    <w:rsid w:val="00940CEE"/>
    <w:rsid w:val="009425EB"/>
    <w:rsid w:val="0094292A"/>
    <w:rsid w:val="00942B5C"/>
    <w:rsid w:val="009432B0"/>
    <w:rsid w:val="00943F4F"/>
    <w:rsid w:val="00943FB9"/>
    <w:rsid w:val="00944370"/>
    <w:rsid w:val="0094443A"/>
    <w:rsid w:val="00944EF6"/>
    <w:rsid w:val="00944F9E"/>
    <w:rsid w:val="009456EE"/>
    <w:rsid w:val="009460AC"/>
    <w:rsid w:val="009465C2"/>
    <w:rsid w:val="00946A49"/>
    <w:rsid w:val="00950A3D"/>
    <w:rsid w:val="009521FB"/>
    <w:rsid w:val="009524E7"/>
    <w:rsid w:val="00952BDA"/>
    <w:rsid w:val="009539D7"/>
    <w:rsid w:val="0095414A"/>
    <w:rsid w:val="00955738"/>
    <w:rsid w:val="00956E47"/>
    <w:rsid w:val="00956EB9"/>
    <w:rsid w:val="00957798"/>
    <w:rsid w:val="00957CB8"/>
    <w:rsid w:val="00957E26"/>
    <w:rsid w:val="00957E49"/>
    <w:rsid w:val="0096089B"/>
    <w:rsid w:val="00960D24"/>
    <w:rsid w:val="009623AD"/>
    <w:rsid w:val="00963786"/>
    <w:rsid w:val="00963CB1"/>
    <w:rsid w:val="0096446C"/>
    <w:rsid w:val="00965303"/>
    <w:rsid w:val="00965EB5"/>
    <w:rsid w:val="00966624"/>
    <w:rsid w:val="009666AA"/>
    <w:rsid w:val="00966815"/>
    <w:rsid w:val="00966EDA"/>
    <w:rsid w:val="0096703C"/>
    <w:rsid w:val="00971DBA"/>
    <w:rsid w:val="00972B89"/>
    <w:rsid w:val="00972BFE"/>
    <w:rsid w:val="00972CD8"/>
    <w:rsid w:val="00973518"/>
    <w:rsid w:val="00973776"/>
    <w:rsid w:val="009749CB"/>
    <w:rsid w:val="00974A0A"/>
    <w:rsid w:val="009759B4"/>
    <w:rsid w:val="009767ED"/>
    <w:rsid w:val="00976F05"/>
    <w:rsid w:val="00976F76"/>
    <w:rsid w:val="009801FB"/>
    <w:rsid w:val="009816E7"/>
    <w:rsid w:val="009821F5"/>
    <w:rsid w:val="0098230D"/>
    <w:rsid w:val="00982BA1"/>
    <w:rsid w:val="00982F8C"/>
    <w:rsid w:val="009831AF"/>
    <w:rsid w:val="009831D5"/>
    <w:rsid w:val="0098330C"/>
    <w:rsid w:val="009840CE"/>
    <w:rsid w:val="00984E2B"/>
    <w:rsid w:val="00986FE0"/>
    <w:rsid w:val="009870B8"/>
    <w:rsid w:val="009875CC"/>
    <w:rsid w:val="00987B12"/>
    <w:rsid w:val="0099036F"/>
    <w:rsid w:val="009905DA"/>
    <w:rsid w:val="009911E7"/>
    <w:rsid w:val="00991F6D"/>
    <w:rsid w:val="00992AB2"/>
    <w:rsid w:val="0099429A"/>
    <w:rsid w:val="00994DAA"/>
    <w:rsid w:val="00996168"/>
    <w:rsid w:val="009976A1"/>
    <w:rsid w:val="00997B0D"/>
    <w:rsid w:val="00997B6C"/>
    <w:rsid w:val="00997F4C"/>
    <w:rsid w:val="009A0F85"/>
    <w:rsid w:val="009A1AD6"/>
    <w:rsid w:val="009A2838"/>
    <w:rsid w:val="009A3172"/>
    <w:rsid w:val="009A3B27"/>
    <w:rsid w:val="009A462A"/>
    <w:rsid w:val="009A4F60"/>
    <w:rsid w:val="009A6F05"/>
    <w:rsid w:val="009A7012"/>
    <w:rsid w:val="009A7AE0"/>
    <w:rsid w:val="009A7FA3"/>
    <w:rsid w:val="009B0A70"/>
    <w:rsid w:val="009B0BFD"/>
    <w:rsid w:val="009B1101"/>
    <w:rsid w:val="009B184D"/>
    <w:rsid w:val="009B23C4"/>
    <w:rsid w:val="009B23FD"/>
    <w:rsid w:val="009B245F"/>
    <w:rsid w:val="009B2A3A"/>
    <w:rsid w:val="009B3D46"/>
    <w:rsid w:val="009B46DB"/>
    <w:rsid w:val="009B5AF1"/>
    <w:rsid w:val="009B6079"/>
    <w:rsid w:val="009B6812"/>
    <w:rsid w:val="009B6D6F"/>
    <w:rsid w:val="009B6FB7"/>
    <w:rsid w:val="009B73F0"/>
    <w:rsid w:val="009B7481"/>
    <w:rsid w:val="009B7886"/>
    <w:rsid w:val="009C0AE7"/>
    <w:rsid w:val="009C233F"/>
    <w:rsid w:val="009C2B43"/>
    <w:rsid w:val="009C2E3B"/>
    <w:rsid w:val="009C2E4C"/>
    <w:rsid w:val="009C4213"/>
    <w:rsid w:val="009C4FF5"/>
    <w:rsid w:val="009C50ED"/>
    <w:rsid w:val="009C5585"/>
    <w:rsid w:val="009C63F4"/>
    <w:rsid w:val="009C64AE"/>
    <w:rsid w:val="009C6F9A"/>
    <w:rsid w:val="009C7213"/>
    <w:rsid w:val="009C78E4"/>
    <w:rsid w:val="009C7B05"/>
    <w:rsid w:val="009D1951"/>
    <w:rsid w:val="009D1DDA"/>
    <w:rsid w:val="009D20DE"/>
    <w:rsid w:val="009D2377"/>
    <w:rsid w:val="009D2CE6"/>
    <w:rsid w:val="009D33CC"/>
    <w:rsid w:val="009D389F"/>
    <w:rsid w:val="009D4479"/>
    <w:rsid w:val="009D483F"/>
    <w:rsid w:val="009D4BD1"/>
    <w:rsid w:val="009D5B08"/>
    <w:rsid w:val="009D6006"/>
    <w:rsid w:val="009D61B7"/>
    <w:rsid w:val="009E04E7"/>
    <w:rsid w:val="009E0B85"/>
    <w:rsid w:val="009E0DB3"/>
    <w:rsid w:val="009E0F74"/>
    <w:rsid w:val="009E1552"/>
    <w:rsid w:val="009E17AF"/>
    <w:rsid w:val="009E1B79"/>
    <w:rsid w:val="009E26F4"/>
    <w:rsid w:val="009E2943"/>
    <w:rsid w:val="009E305B"/>
    <w:rsid w:val="009E4249"/>
    <w:rsid w:val="009E5D34"/>
    <w:rsid w:val="009E5E02"/>
    <w:rsid w:val="009E600A"/>
    <w:rsid w:val="009E6107"/>
    <w:rsid w:val="009E72EA"/>
    <w:rsid w:val="009F02C5"/>
    <w:rsid w:val="009F0F46"/>
    <w:rsid w:val="009F0F79"/>
    <w:rsid w:val="009F1599"/>
    <w:rsid w:val="009F208B"/>
    <w:rsid w:val="009F21D5"/>
    <w:rsid w:val="009F2D7B"/>
    <w:rsid w:val="009F5108"/>
    <w:rsid w:val="009F53EF"/>
    <w:rsid w:val="009F561D"/>
    <w:rsid w:val="009F760E"/>
    <w:rsid w:val="009F7929"/>
    <w:rsid w:val="009F795B"/>
    <w:rsid w:val="00A003D4"/>
    <w:rsid w:val="00A005A0"/>
    <w:rsid w:val="00A0193F"/>
    <w:rsid w:val="00A02011"/>
    <w:rsid w:val="00A0269E"/>
    <w:rsid w:val="00A059DC"/>
    <w:rsid w:val="00A05A53"/>
    <w:rsid w:val="00A06BE5"/>
    <w:rsid w:val="00A07FD3"/>
    <w:rsid w:val="00A108F0"/>
    <w:rsid w:val="00A10F30"/>
    <w:rsid w:val="00A11F66"/>
    <w:rsid w:val="00A12ADF"/>
    <w:rsid w:val="00A12D9B"/>
    <w:rsid w:val="00A134E5"/>
    <w:rsid w:val="00A139F1"/>
    <w:rsid w:val="00A13CCB"/>
    <w:rsid w:val="00A15822"/>
    <w:rsid w:val="00A15B77"/>
    <w:rsid w:val="00A166A8"/>
    <w:rsid w:val="00A16CA6"/>
    <w:rsid w:val="00A176EB"/>
    <w:rsid w:val="00A208E2"/>
    <w:rsid w:val="00A21151"/>
    <w:rsid w:val="00A228B9"/>
    <w:rsid w:val="00A23622"/>
    <w:rsid w:val="00A251C0"/>
    <w:rsid w:val="00A25F9E"/>
    <w:rsid w:val="00A26151"/>
    <w:rsid w:val="00A3015D"/>
    <w:rsid w:val="00A30D3F"/>
    <w:rsid w:val="00A31D25"/>
    <w:rsid w:val="00A32AEC"/>
    <w:rsid w:val="00A347CB"/>
    <w:rsid w:val="00A353A4"/>
    <w:rsid w:val="00A3555A"/>
    <w:rsid w:val="00A35DFF"/>
    <w:rsid w:val="00A36982"/>
    <w:rsid w:val="00A37D4B"/>
    <w:rsid w:val="00A40ECB"/>
    <w:rsid w:val="00A41156"/>
    <w:rsid w:val="00A41FBB"/>
    <w:rsid w:val="00A43445"/>
    <w:rsid w:val="00A44908"/>
    <w:rsid w:val="00A4497A"/>
    <w:rsid w:val="00A44C6A"/>
    <w:rsid w:val="00A455D1"/>
    <w:rsid w:val="00A46137"/>
    <w:rsid w:val="00A4659E"/>
    <w:rsid w:val="00A466E4"/>
    <w:rsid w:val="00A501D0"/>
    <w:rsid w:val="00A50313"/>
    <w:rsid w:val="00A50598"/>
    <w:rsid w:val="00A506B3"/>
    <w:rsid w:val="00A50BA1"/>
    <w:rsid w:val="00A50FFA"/>
    <w:rsid w:val="00A51E58"/>
    <w:rsid w:val="00A53A61"/>
    <w:rsid w:val="00A53D3B"/>
    <w:rsid w:val="00A547CF"/>
    <w:rsid w:val="00A54AA0"/>
    <w:rsid w:val="00A54EB9"/>
    <w:rsid w:val="00A5658F"/>
    <w:rsid w:val="00A56749"/>
    <w:rsid w:val="00A56C2B"/>
    <w:rsid w:val="00A571C8"/>
    <w:rsid w:val="00A57DA9"/>
    <w:rsid w:val="00A57FC9"/>
    <w:rsid w:val="00A600F3"/>
    <w:rsid w:val="00A61A0C"/>
    <w:rsid w:val="00A61E9D"/>
    <w:rsid w:val="00A642F5"/>
    <w:rsid w:val="00A646B0"/>
    <w:rsid w:val="00A648C5"/>
    <w:rsid w:val="00A648F5"/>
    <w:rsid w:val="00A649F4"/>
    <w:rsid w:val="00A64A87"/>
    <w:rsid w:val="00A64AB2"/>
    <w:rsid w:val="00A65AF1"/>
    <w:rsid w:val="00A669A7"/>
    <w:rsid w:val="00A66C76"/>
    <w:rsid w:val="00A67440"/>
    <w:rsid w:val="00A70147"/>
    <w:rsid w:val="00A704E2"/>
    <w:rsid w:val="00A70E88"/>
    <w:rsid w:val="00A711EA"/>
    <w:rsid w:val="00A7136F"/>
    <w:rsid w:val="00A71BCF"/>
    <w:rsid w:val="00A7268C"/>
    <w:rsid w:val="00A749D0"/>
    <w:rsid w:val="00A75273"/>
    <w:rsid w:val="00A754B1"/>
    <w:rsid w:val="00A7552D"/>
    <w:rsid w:val="00A81452"/>
    <w:rsid w:val="00A81DB2"/>
    <w:rsid w:val="00A824EE"/>
    <w:rsid w:val="00A8264F"/>
    <w:rsid w:val="00A836AD"/>
    <w:rsid w:val="00A84762"/>
    <w:rsid w:val="00A86078"/>
    <w:rsid w:val="00A86955"/>
    <w:rsid w:val="00A872D3"/>
    <w:rsid w:val="00A90E3B"/>
    <w:rsid w:val="00A91D78"/>
    <w:rsid w:val="00A92123"/>
    <w:rsid w:val="00A92575"/>
    <w:rsid w:val="00A93171"/>
    <w:rsid w:val="00A93847"/>
    <w:rsid w:val="00A96010"/>
    <w:rsid w:val="00A963CE"/>
    <w:rsid w:val="00A96F1F"/>
    <w:rsid w:val="00A97401"/>
    <w:rsid w:val="00AA1129"/>
    <w:rsid w:val="00AA17C4"/>
    <w:rsid w:val="00AA4D91"/>
    <w:rsid w:val="00AA5850"/>
    <w:rsid w:val="00AA67C9"/>
    <w:rsid w:val="00AA6E96"/>
    <w:rsid w:val="00AA7316"/>
    <w:rsid w:val="00AA7547"/>
    <w:rsid w:val="00AA79AB"/>
    <w:rsid w:val="00AA7A68"/>
    <w:rsid w:val="00AB093A"/>
    <w:rsid w:val="00AB1121"/>
    <w:rsid w:val="00AB2099"/>
    <w:rsid w:val="00AB2574"/>
    <w:rsid w:val="00AB2F56"/>
    <w:rsid w:val="00AB30B3"/>
    <w:rsid w:val="00AB367A"/>
    <w:rsid w:val="00AB40E3"/>
    <w:rsid w:val="00AB4964"/>
    <w:rsid w:val="00AB4ADD"/>
    <w:rsid w:val="00AB55F4"/>
    <w:rsid w:val="00AB68CE"/>
    <w:rsid w:val="00AB6B6F"/>
    <w:rsid w:val="00AB72F1"/>
    <w:rsid w:val="00AB74B9"/>
    <w:rsid w:val="00AB7F7F"/>
    <w:rsid w:val="00AC037A"/>
    <w:rsid w:val="00AC0B9C"/>
    <w:rsid w:val="00AC18F1"/>
    <w:rsid w:val="00AC3BF6"/>
    <w:rsid w:val="00AC3FB5"/>
    <w:rsid w:val="00AC4B95"/>
    <w:rsid w:val="00AC4ED7"/>
    <w:rsid w:val="00AC6A4C"/>
    <w:rsid w:val="00AC6C42"/>
    <w:rsid w:val="00AC7136"/>
    <w:rsid w:val="00AD3746"/>
    <w:rsid w:val="00AD3F60"/>
    <w:rsid w:val="00AD4538"/>
    <w:rsid w:val="00AD4E07"/>
    <w:rsid w:val="00AD66B6"/>
    <w:rsid w:val="00AD681C"/>
    <w:rsid w:val="00AE0049"/>
    <w:rsid w:val="00AE05DD"/>
    <w:rsid w:val="00AE1528"/>
    <w:rsid w:val="00AE15D9"/>
    <w:rsid w:val="00AE1697"/>
    <w:rsid w:val="00AE20E8"/>
    <w:rsid w:val="00AE3051"/>
    <w:rsid w:val="00AE3191"/>
    <w:rsid w:val="00AE5131"/>
    <w:rsid w:val="00AE515C"/>
    <w:rsid w:val="00AE541B"/>
    <w:rsid w:val="00AE544D"/>
    <w:rsid w:val="00AE55D9"/>
    <w:rsid w:val="00AE5C9D"/>
    <w:rsid w:val="00AE708F"/>
    <w:rsid w:val="00AF042A"/>
    <w:rsid w:val="00AF0950"/>
    <w:rsid w:val="00AF1366"/>
    <w:rsid w:val="00AF240A"/>
    <w:rsid w:val="00AF3061"/>
    <w:rsid w:val="00AF4041"/>
    <w:rsid w:val="00AF4198"/>
    <w:rsid w:val="00AF49B0"/>
    <w:rsid w:val="00AF5950"/>
    <w:rsid w:val="00AF636E"/>
    <w:rsid w:val="00AF6701"/>
    <w:rsid w:val="00B00A01"/>
    <w:rsid w:val="00B0224A"/>
    <w:rsid w:val="00B026D3"/>
    <w:rsid w:val="00B0311D"/>
    <w:rsid w:val="00B03215"/>
    <w:rsid w:val="00B034E4"/>
    <w:rsid w:val="00B03F9B"/>
    <w:rsid w:val="00B04727"/>
    <w:rsid w:val="00B058B5"/>
    <w:rsid w:val="00B06090"/>
    <w:rsid w:val="00B07F44"/>
    <w:rsid w:val="00B13600"/>
    <w:rsid w:val="00B13AC2"/>
    <w:rsid w:val="00B1555D"/>
    <w:rsid w:val="00B15D7B"/>
    <w:rsid w:val="00B16BBE"/>
    <w:rsid w:val="00B226DD"/>
    <w:rsid w:val="00B23356"/>
    <w:rsid w:val="00B24422"/>
    <w:rsid w:val="00B246D2"/>
    <w:rsid w:val="00B24724"/>
    <w:rsid w:val="00B24964"/>
    <w:rsid w:val="00B24B7B"/>
    <w:rsid w:val="00B251B4"/>
    <w:rsid w:val="00B25D95"/>
    <w:rsid w:val="00B262C6"/>
    <w:rsid w:val="00B26498"/>
    <w:rsid w:val="00B27291"/>
    <w:rsid w:val="00B276AC"/>
    <w:rsid w:val="00B306A0"/>
    <w:rsid w:val="00B309AC"/>
    <w:rsid w:val="00B31F29"/>
    <w:rsid w:val="00B3201B"/>
    <w:rsid w:val="00B32D0E"/>
    <w:rsid w:val="00B33AF5"/>
    <w:rsid w:val="00B350A9"/>
    <w:rsid w:val="00B353D0"/>
    <w:rsid w:val="00B35C2A"/>
    <w:rsid w:val="00B35D4A"/>
    <w:rsid w:val="00B360D9"/>
    <w:rsid w:val="00B3687A"/>
    <w:rsid w:val="00B369D6"/>
    <w:rsid w:val="00B36E1D"/>
    <w:rsid w:val="00B37F0C"/>
    <w:rsid w:val="00B40196"/>
    <w:rsid w:val="00B407D1"/>
    <w:rsid w:val="00B41665"/>
    <w:rsid w:val="00B425FC"/>
    <w:rsid w:val="00B4294D"/>
    <w:rsid w:val="00B431EB"/>
    <w:rsid w:val="00B4359F"/>
    <w:rsid w:val="00B439A7"/>
    <w:rsid w:val="00B43E5B"/>
    <w:rsid w:val="00B4412F"/>
    <w:rsid w:val="00B44550"/>
    <w:rsid w:val="00B445CD"/>
    <w:rsid w:val="00B44E9E"/>
    <w:rsid w:val="00B45734"/>
    <w:rsid w:val="00B467A0"/>
    <w:rsid w:val="00B471F8"/>
    <w:rsid w:val="00B50CF6"/>
    <w:rsid w:val="00B5146B"/>
    <w:rsid w:val="00B523D6"/>
    <w:rsid w:val="00B5284A"/>
    <w:rsid w:val="00B52BA4"/>
    <w:rsid w:val="00B542AE"/>
    <w:rsid w:val="00B54DC8"/>
    <w:rsid w:val="00B571FF"/>
    <w:rsid w:val="00B600AD"/>
    <w:rsid w:val="00B60C91"/>
    <w:rsid w:val="00B60E04"/>
    <w:rsid w:val="00B614F7"/>
    <w:rsid w:val="00B61505"/>
    <w:rsid w:val="00B621D1"/>
    <w:rsid w:val="00B624B3"/>
    <w:rsid w:val="00B63458"/>
    <w:rsid w:val="00B645AF"/>
    <w:rsid w:val="00B66100"/>
    <w:rsid w:val="00B669A5"/>
    <w:rsid w:val="00B66CE9"/>
    <w:rsid w:val="00B70251"/>
    <w:rsid w:val="00B70624"/>
    <w:rsid w:val="00B71199"/>
    <w:rsid w:val="00B7175E"/>
    <w:rsid w:val="00B72FB1"/>
    <w:rsid w:val="00B73FA8"/>
    <w:rsid w:val="00B74843"/>
    <w:rsid w:val="00B75550"/>
    <w:rsid w:val="00B757E4"/>
    <w:rsid w:val="00B75BE3"/>
    <w:rsid w:val="00B75D46"/>
    <w:rsid w:val="00B76955"/>
    <w:rsid w:val="00B772DA"/>
    <w:rsid w:val="00B773BC"/>
    <w:rsid w:val="00B77808"/>
    <w:rsid w:val="00B7797D"/>
    <w:rsid w:val="00B80540"/>
    <w:rsid w:val="00B80A0E"/>
    <w:rsid w:val="00B811F0"/>
    <w:rsid w:val="00B8192E"/>
    <w:rsid w:val="00B824B9"/>
    <w:rsid w:val="00B82632"/>
    <w:rsid w:val="00B82898"/>
    <w:rsid w:val="00B83E78"/>
    <w:rsid w:val="00B8461B"/>
    <w:rsid w:val="00B84FE7"/>
    <w:rsid w:val="00B85650"/>
    <w:rsid w:val="00B87FCD"/>
    <w:rsid w:val="00B9008A"/>
    <w:rsid w:val="00B903EF"/>
    <w:rsid w:val="00B90E39"/>
    <w:rsid w:val="00B92511"/>
    <w:rsid w:val="00B92A57"/>
    <w:rsid w:val="00B93E5E"/>
    <w:rsid w:val="00B93F93"/>
    <w:rsid w:val="00B95332"/>
    <w:rsid w:val="00B95E17"/>
    <w:rsid w:val="00B95EFE"/>
    <w:rsid w:val="00B9610C"/>
    <w:rsid w:val="00BA0A84"/>
    <w:rsid w:val="00BA0ADC"/>
    <w:rsid w:val="00BA1D2C"/>
    <w:rsid w:val="00BA26BB"/>
    <w:rsid w:val="00BA365E"/>
    <w:rsid w:val="00BA3767"/>
    <w:rsid w:val="00BA3951"/>
    <w:rsid w:val="00BA44C4"/>
    <w:rsid w:val="00BA6DBA"/>
    <w:rsid w:val="00BA7072"/>
    <w:rsid w:val="00BA783A"/>
    <w:rsid w:val="00BA7D82"/>
    <w:rsid w:val="00BB0404"/>
    <w:rsid w:val="00BB0AB3"/>
    <w:rsid w:val="00BB0D6A"/>
    <w:rsid w:val="00BB302F"/>
    <w:rsid w:val="00BB3EE9"/>
    <w:rsid w:val="00BB4052"/>
    <w:rsid w:val="00BB4164"/>
    <w:rsid w:val="00BB432B"/>
    <w:rsid w:val="00BB5724"/>
    <w:rsid w:val="00BB694C"/>
    <w:rsid w:val="00BC0A3A"/>
    <w:rsid w:val="00BC0DE0"/>
    <w:rsid w:val="00BC0EE8"/>
    <w:rsid w:val="00BC14AB"/>
    <w:rsid w:val="00BC2B83"/>
    <w:rsid w:val="00BC40BB"/>
    <w:rsid w:val="00BC4BFF"/>
    <w:rsid w:val="00BC51F2"/>
    <w:rsid w:val="00BC5A5C"/>
    <w:rsid w:val="00BC7D10"/>
    <w:rsid w:val="00BC7DE2"/>
    <w:rsid w:val="00BD03DE"/>
    <w:rsid w:val="00BD0899"/>
    <w:rsid w:val="00BD0B72"/>
    <w:rsid w:val="00BD1218"/>
    <w:rsid w:val="00BD123A"/>
    <w:rsid w:val="00BD167A"/>
    <w:rsid w:val="00BD17A5"/>
    <w:rsid w:val="00BD1C32"/>
    <w:rsid w:val="00BD2560"/>
    <w:rsid w:val="00BD31AB"/>
    <w:rsid w:val="00BD3FFD"/>
    <w:rsid w:val="00BD439A"/>
    <w:rsid w:val="00BD4604"/>
    <w:rsid w:val="00BD4638"/>
    <w:rsid w:val="00BD5A5A"/>
    <w:rsid w:val="00BD5D24"/>
    <w:rsid w:val="00BD7299"/>
    <w:rsid w:val="00BD73D0"/>
    <w:rsid w:val="00BD7874"/>
    <w:rsid w:val="00BE1011"/>
    <w:rsid w:val="00BE155D"/>
    <w:rsid w:val="00BE16CB"/>
    <w:rsid w:val="00BE1B32"/>
    <w:rsid w:val="00BE20BF"/>
    <w:rsid w:val="00BE40BB"/>
    <w:rsid w:val="00BE4507"/>
    <w:rsid w:val="00BE489E"/>
    <w:rsid w:val="00BE4E1A"/>
    <w:rsid w:val="00BE5729"/>
    <w:rsid w:val="00BE7BA6"/>
    <w:rsid w:val="00BF098B"/>
    <w:rsid w:val="00BF0D20"/>
    <w:rsid w:val="00BF13D7"/>
    <w:rsid w:val="00BF21A9"/>
    <w:rsid w:val="00BF2333"/>
    <w:rsid w:val="00BF2638"/>
    <w:rsid w:val="00BF3E96"/>
    <w:rsid w:val="00BF3FBC"/>
    <w:rsid w:val="00BF4307"/>
    <w:rsid w:val="00BF4503"/>
    <w:rsid w:val="00BF5083"/>
    <w:rsid w:val="00BF5735"/>
    <w:rsid w:val="00BF616F"/>
    <w:rsid w:val="00BF755D"/>
    <w:rsid w:val="00BF779D"/>
    <w:rsid w:val="00BF7BF2"/>
    <w:rsid w:val="00C0156E"/>
    <w:rsid w:val="00C0176C"/>
    <w:rsid w:val="00C02A45"/>
    <w:rsid w:val="00C055CB"/>
    <w:rsid w:val="00C05A44"/>
    <w:rsid w:val="00C070E6"/>
    <w:rsid w:val="00C0738F"/>
    <w:rsid w:val="00C07971"/>
    <w:rsid w:val="00C07C6A"/>
    <w:rsid w:val="00C102CC"/>
    <w:rsid w:val="00C105BB"/>
    <w:rsid w:val="00C10BD9"/>
    <w:rsid w:val="00C12F31"/>
    <w:rsid w:val="00C13C15"/>
    <w:rsid w:val="00C14453"/>
    <w:rsid w:val="00C15F72"/>
    <w:rsid w:val="00C176C5"/>
    <w:rsid w:val="00C178E8"/>
    <w:rsid w:val="00C17CE0"/>
    <w:rsid w:val="00C17F6A"/>
    <w:rsid w:val="00C20019"/>
    <w:rsid w:val="00C208F8"/>
    <w:rsid w:val="00C20C27"/>
    <w:rsid w:val="00C22076"/>
    <w:rsid w:val="00C22486"/>
    <w:rsid w:val="00C22B03"/>
    <w:rsid w:val="00C22C2B"/>
    <w:rsid w:val="00C24B0A"/>
    <w:rsid w:val="00C26BF2"/>
    <w:rsid w:val="00C2770F"/>
    <w:rsid w:val="00C308A6"/>
    <w:rsid w:val="00C31B42"/>
    <w:rsid w:val="00C33801"/>
    <w:rsid w:val="00C33C88"/>
    <w:rsid w:val="00C34218"/>
    <w:rsid w:val="00C35F7F"/>
    <w:rsid w:val="00C37B0F"/>
    <w:rsid w:val="00C37C49"/>
    <w:rsid w:val="00C40615"/>
    <w:rsid w:val="00C41214"/>
    <w:rsid w:val="00C41BE6"/>
    <w:rsid w:val="00C4325D"/>
    <w:rsid w:val="00C4326D"/>
    <w:rsid w:val="00C439EA"/>
    <w:rsid w:val="00C4492E"/>
    <w:rsid w:val="00C45332"/>
    <w:rsid w:val="00C4560B"/>
    <w:rsid w:val="00C462F7"/>
    <w:rsid w:val="00C46EC3"/>
    <w:rsid w:val="00C47DCF"/>
    <w:rsid w:val="00C50F56"/>
    <w:rsid w:val="00C51EDD"/>
    <w:rsid w:val="00C51FAF"/>
    <w:rsid w:val="00C529D7"/>
    <w:rsid w:val="00C53425"/>
    <w:rsid w:val="00C54C56"/>
    <w:rsid w:val="00C55364"/>
    <w:rsid w:val="00C57DEB"/>
    <w:rsid w:val="00C6012D"/>
    <w:rsid w:val="00C60222"/>
    <w:rsid w:val="00C60EB5"/>
    <w:rsid w:val="00C646B5"/>
    <w:rsid w:val="00C647ED"/>
    <w:rsid w:val="00C65075"/>
    <w:rsid w:val="00C65559"/>
    <w:rsid w:val="00C6693F"/>
    <w:rsid w:val="00C66B83"/>
    <w:rsid w:val="00C66D06"/>
    <w:rsid w:val="00C67F0E"/>
    <w:rsid w:val="00C700B7"/>
    <w:rsid w:val="00C70179"/>
    <w:rsid w:val="00C7059F"/>
    <w:rsid w:val="00C710CD"/>
    <w:rsid w:val="00C7210E"/>
    <w:rsid w:val="00C73C9E"/>
    <w:rsid w:val="00C75A27"/>
    <w:rsid w:val="00C75B92"/>
    <w:rsid w:val="00C75BCA"/>
    <w:rsid w:val="00C76017"/>
    <w:rsid w:val="00C764A2"/>
    <w:rsid w:val="00C76A0A"/>
    <w:rsid w:val="00C76B7A"/>
    <w:rsid w:val="00C816BF"/>
    <w:rsid w:val="00C81D09"/>
    <w:rsid w:val="00C81F80"/>
    <w:rsid w:val="00C81F8A"/>
    <w:rsid w:val="00C8284A"/>
    <w:rsid w:val="00C82E63"/>
    <w:rsid w:val="00C839D3"/>
    <w:rsid w:val="00C849DC"/>
    <w:rsid w:val="00C85DB3"/>
    <w:rsid w:val="00C86281"/>
    <w:rsid w:val="00C86ABA"/>
    <w:rsid w:val="00C86FE3"/>
    <w:rsid w:val="00C87F9A"/>
    <w:rsid w:val="00C90054"/>
    <w:rsid w:val="00C91571"/>
    <w:rsid w:val="00C91E46"/>
    <w:rsid w:val="00C92FCC"/>
    <w:rsid w:val="00C931EE"/>
    <w:rsid w:val="00C93F8B"/>
    <w:rsid w:val="00C948FD"/>
    <w:rsid w:val="00C949D2"/>
    <w:rsid w:val="00C94E71"/>
    <w:rsid w:val="00C95E86"/>
    <w:rsid w:val="00C96469"/>
    <w:rsid w:val="00C97214"/>
    <w:rsid w:val="00C9765E"/>
    <w:rsid w:val="00CA0427"/>
    <w:rsid w:val="00CA0BAF"/>
    <w:rsid w:val="00CA0D4B"/>
    <w:rsid w:val="00CA26BD"/>
    <w:rsid w:val="00CA3CE2"/>
    <w:rsid w:val="00CA3CE5"/>
    <w:rsid w:val="00CA4120"/>
    <w:rsid w:val="00CA4319"/>
    <w:rsid w:val="00CA4751"/>
    <w:rsid w:val="00CA4B4B"/>
    <w:rsid w:val="00CA57A8"/>
    <w:rsid w:val="00CA5EC2"/>
    <w:rsid w:val="00CA629C"/>
    <w:rsid w:val="00CA646F"/>
    <w:rsid w:val="00CA64D6"/>
    <w:rsid w:val="00CA6BFC"/>
    <w:rsid w:val="00CA7B8E"/>
    <w:rsid w:val="00CA7BBF"/>
    <w:rsid w:val="00CB109A"/>
    <w:rsid w:val="00CB1A72"/>
    <w:rsid w:val="00CB1DF1"/>
    <w:rsid w:val="00CB2313"/>
    <w:rsid w:val="00CB231B"/>
    <w:rsid w:val="00CB26C7"/>
    <w:rsid w:val="00CB382B"/>
    <w:rsid w:val="00CB402D"/>
    <w:rsid w:val="00CB4998"/>
    <w:rsid w:val="00CB54A2"/>
    <w:rsid w:val="00CB5525"/>
    <w:rsid w:val="00CB5B93"/>
    <w:rsid w:val="00CB6F0C"/>
    <w:rsid w:val="00CB7D39"/>
    <w:rsid w:val="00CC12D6"/>
    <w:rsid w:val="00CC182C"/>
    <w:rsid w:val="00CC22C1"/>
    <w:rsid w:val="00CC2BEB"/>
    <w:rsid w:val="00CC407E"/>
    <w:rsid w:val="00CC47F8"/>
    <w:rsid w:val="00CC7032"/>
    <w:rsid w:val="00CC7034"/>
    <w:rsid w:val="00CD12A6"/>
    <w:rsid w:val="00CD293A"/>
    <w:rsid w:val="00CD47E1"/>
    <w:rsid w:val="00CD509F"/>
    <w:rsid w:val="00CD77E5"/>
    <w:rsid w:val="00CE0DEE"/>
    <w:rsid w:val="00CE2A8F"/>
    <w:rsid w:val="00CE377A"/>
    <w:rsid w:val="00CE3EE8"/>
    <w:rsid w:val="00CE4092"/>
    <w:rsid w:val="00CE473E"/>
    <w:rsid w:val="00CE586F"/>
    <w:rsid w:val="00CE65DD"/>
    <w:rsid w:val="00CE7A45"/>
    <w:rsid w:val="00CF00D0"/>
    <w:rsid w:val="00CF19E6"/>
    <w:rsid w:val="00CF2C94"/>
    <w:rsid w:val="00CF338E"/>
    <w:rsid w:val="00CF4395"/>
    <w:rsid w:val="00CF4583"/>
    <w:rsid w:val="00CF4715"/>
    <w:rsid w:val="00CF5872"/>
    <w:rsid w:val="00CF58C6"/>
    <w:rsid w:val="00CF61DA"/>
    <w:rsid w:val="00CF62AC"/>
    <w:rsid w:val="00CF6C54"/>
    <w:rsid w:val="00D006B9"/>
    <w:rsid w:val="00D00A97"/>
    <w:rsid w:val="00D00DCC"/>
    <w:rsid w:val="00D0107E"/>
    <w:rsid w:val="00D011D4"/>
    <w:rsid w:val="00D01776"/>
    <w:rsid w:val="00D0259B"/>
    <w:rsid w:val="00D02E46"/>
    <w:rsid w:val="00D03A26"/>
    <w:rsid w:val="00D03BE1"/>
    <w:rsid w:val="00D04A2B"/>
    <w:rsid w:val="00D04AD0"/>
    <w:rsid w:val="00D0525E"/>
    <w:rsid w:val="00D06470"/>
    <w:rsid w:val="00D06D3D"/>
    <w:rsid w:val="00D06EDD"/>
    <w:rsid w:val="00D10083"/>
    <w:rsid w:val="00D128D9"/>
    <w:rsid w:val="00D14CF7"/>
    <w:rsid w:val="00D151AC"/>
    <w:rsid w:val="00D154EE"/>
    <w:rsid w:val="00D15EF4"/>
    <w:rsid w:val="00D16BB0"/>
    <w:rsid w:val="00D17353"/>
    <w:rsid w:val="00D179C1"/>
    <w:rsid w:val="00D205D7"/>
    <w:rsid w:val="00D21A66"/>
    <w:rsid w:val="00D22622"/>
    <w:rsid w:val="00D227F7"/>
    <w:rsid w:val="00D2341A"/>
    <w:rsid w:val="00D2380C"/>
    <w:rsid w:val="00D23F60"/>
    <w:rsid w:val="00D2465E"/>
    <w:rsid w:val="00D24A96"/>
    <w:rsid w:val="00D2655A"/>
    <w:rsid w:val="00D265DE"/>
    <w:rsid w:val="00D272A3"/>
    <w:rsid w:val="00D308F2"/>
    <w:rsid w:val="00D30B8D"/>
    <w:rsid w:val="00D3138F"/>
    <w:rsid w:val="00D318DD"/>
    <w:rsid w:val="00D33384"/>
    <w:rsid w:val="00D33839"/>
    <w:rsid w:val="00D33C09"/>
    <w:rsid w:val="00D33F92"/>
    <w:rsid w:val="00D34050"/>
    <w:rsid w:val="00D345CE"/>
    <w:rsid w:val="00D348F2"/>
    <w:rsid w:val="00D35B63"/>
    <w:rsid w:val="00D40192"/>
    <w:rsid w:val="00D4096B"/>
    <w:rsid w:val="00D40C07"/>
    <w:rsid w:val="00D418A0"/>
    <w:rsid w:val="00D41E77"/>
    <w:rsid w:val="00D425B7"/>
    <w:rsid w:val="00D42D5E"/>
    <w:rsid w:val="00D439F7"/>
    <w:rsid w:val="00D43D6A"/>
    <w:rsid w:val="00D440F1"/>
    <w:rsid w:val="00D442A1"/>
    <w:rsid w:val="00D45A75"/>
    <w:rsid w:val="00D460F4"/>
    <w:rsid w:val="00D47279"/>
    <w:rsid w:val="00D47798"/>
    <w:rsid w:val="00D500E1"/>
    <w:rsid w:val="00D5100D"/>
    <w:rsid w:val="00D51A64"/>
    <w:rsid w:val="00D53163"/>
    <w:rsid w:val="00D5346A"/>
    <w:rsid w:val="00D53683"/>
    <w:rsid w:val="00D536B8"/>
    <w:rsid w:val="00D53F0A"/>
    <w:rsid w:val="00D54A39"/>
    <w:rsid w:val="00D54B2B"/>
    <w:rsid w:val="00D54E80"/>
    <w:rsid w:val="00D5581E"/>
    <w:rsid w:val="00D55B4A"/>
    <w:rsid w:val="00D561B4"/>
    <w:rsid w:val="00D566BD"/>
    <w:rsid w:val="00D57205"/>
    <w:rsid w:val="00D613FB"/>
    <w:rsid w:val="00D61493"/>
    <w:rsid w:val="00D618D3"/>
    <w:rsid w:val="00D621D4"/>
    <w:rsid w:val="00D62F87"/>
    <w:rsid w:val="00D64932"/>
    <w:rsid w:val="00D64962"/>
    <w:rsid w:val="00D64AAC"/>
    <w:rsid w:val="00D65778"/>
    <w:rsid w:val="00D667ED"/>
    <w:rsid w:val="00D673AA"/>
    <w:rsid w:val="00D70C4F"/>
    <w:rsid w:val="00D70E0E"/>
    <w:rsid w:val="00D71702"/>
    <w:rsid w:val="00D718EB"/>
    <w:rsid w:val="00D71CA9"/>
    <w:rsid w:val="00D7201E"/>
    <w:rsid w:val="00D72751"/>
    <w:rsid w:val="00D7381B"/>
    <w:rsid w:val="00D739F3"/>
    <w:rsid w:val="00D73FE5"/>
    <w:rsid w:val="00D74557"/>
    <w:rsid w:val="00D755D2"/>
    <w:rsid w:val="00D76FD9"/>
    <w:rsid w:val="00D772AA"/>
    <w:rsid w:val="00D80124"/>
    <w:rsid w:val="00D8071A"/>
    <w:rsid w:val="00D81924"/>
    <w:rsid w:val="00D81E61"/>
    <w:rsid w:val="00D83310"/>
    <w:rsid w:val="00D83600"/>
    <w:rsid w:val="00D857C6"/>
    <w:rsid w:val="00D86840"/>
    <w:rsid w:val="00D86E4A"/>
    <w:rsid w:val="00D86EE1"/>
    <w:rsid w:val="00D90518"/>
    <w:rsid w:val="00D90602"/>
    <w:rsid w:val="00D90E05"/>
    <w:rsid w:val="00D91457"/>
    <w:rsid w:val="00D916A9"/>
    <w:rsid w:val="00D92B05"/>
    <w:rsid w:val="00D92EA5"/>
    <w:rsid w:val="00D93E48"/>
    <w:rsid w:val="00D93E81"/>
    <w:rsid w:val="00D95AC0"/>
    <w:rsid w:val="00DA0B33"/>
    <w:rsid w:val="00DA1683"/>
    <w:rsid w:val="00DA1FE4"/>
    <w:rsid w:val="00DA2F3A"/>
    <w:rsid w:val="00DA3E35"/>
    <w:rsid w:val="00DA3F3D"/>
    <w:rsid w:val="00DA4AA0"/>
    <w:rsid w:val="00DA5A49"/>
    <w:rsid w:val="00DB0631"/>
    <w:rsid w:val="00DB0A89"/>
    <w:rsid w:val="00DB2091"/>
    <w:rsid w:val="00DB2F69"/>
    <w:rsid w:val="00DB45BE"/>
    <w:rsid w:val="00DB5CC0"/>
    <w:rsid w:val="00DB5E0C"/>
    <w:rsid w:val="00DB79DC"/>
    <w:rsid w:val="00DB7BFF"/>
    <w:rsid w:val="00DC02C0"/>
    <w:rsid w:val="00DC0728"/>
    <w:rsid w:val="00DC10A2"/>
    <w:rsid w:val="00DC13F6"/>
    <w:rsid w:val="00DC164C"/>
    <w:rsid w:val="00DC25BE"/>
    <w:rsid w:val="00DC278F"/>
    <w:rsid w:val="00DC42A1"/>
    <w:rsid w:val="00DC4330"/>
    <w:rsid w:val="00DC5FA6"/>
    <w:rsid w:val="00DC66AD"/>
    <w:rsid w:val="00DC68DC"/>
    <w:rsid w:val="00DD01BA"/>
    <w:rsid w:val="00DD0C22"/>
    <w:rsid w:val="00DD12CE"/>
    <w:rsid w:val="00DD1DB1"/>
    <w:rsid w:val="00DD28DC"/>
    <w:rsid w:val="00DD3D75"/>
    <w:rsid w:val="00DD3DB3"/>
    <w:rsid w:val="00DD4164"/>
    <w:rsid w:val="00DD4D22"/>
    <w:rsid w:val="00DD4E3F"/>
    <w:rsid w:val="00DD576E"/>
    <w:rsid w:val="00DD6F0D"/>
    <w:rsid w:val="00DE1AB0"/>
    <w:rsid w:val="00DE1D8F"/>
    <w:rsid w:val="00DE2809"/>
    <w:rsid w:val="00DE2CDE"/>
    <w:rsid w:val="00DE4749"/>
    <w:rsid w:val="00DE6D76"/>
    <w:rsid w:val="00DE7062"/>
    <w:rsid w:val="00DE784A"/>
    <w:rsid w:val="00DF083D"/>
    <w:rsid w:val="00DF287F"/>
    <w:rsid w:val="00DF31EA"/>
    <w:rsid w:val="00DF387B"/>
    <w:rsid w:val="00DF3918"/>
    <w:rsid w:val="00DF45B6"/>
    <w:rsid w:val="00DF5BAB"/>
    <w:rsid w:val="00DF5E25"/>
    <w:rsid w:val="00DF74BA"/>
    <w:rsid w:val="00DF7554"/>
    <w:rsid w:val="00E00F72"/>
    <w:rsid w:val="00E01D9F"/>
    <w:rsid w:val="00E03789"/>
    <w:rsid w:val="00E03F6F"/>
    <w:rsid w:val="00E0405A"/>
    <w:rsid w:val="00E04269"/>
    <w:rsid w:val="00E10447"/>
    <w:rsid w:val="00E11BB7"/>
    <w:rsid w:val="00E11F25"/>
    <w:rsid w:val="00E12775"/>
    <w:rsid w:val="00E12997"/>
    <w:rsid w:val="00E129A5"/>
    <w:rsid w:val="00E12B46"/>
    <w:rsid w:val="00E1372E"/>
    <w:rsid w:val="00E13DFB"/>
    <w:rsid w:val="00E15AC5"/>
    <w:rsid w:val="00E1621F"/>
    <w:rsid w:val="00E1729E"/>
    <w:rsid w:val="00E2041A"/>
    <w:rsid w:val="00E20FD4"/>
    <w:rsid w:val="00E23AF9"/>
    <w:rsid w:val="00E25071"/>
    <w:rsid w:val="00E2754C"/>
    <w:rsid w:val="00E27631"/>
    <w:rsid w:val="00E27765"/>
    <w:rsid w:val="00E279F6"/>
    <w:rsid w:val="00E30077"/>
    <w:rsid w:val="00E30ADA"/>
    <w:rsid w:val="00E321D5"/>
    <w:rsid w:val="00E32842"/>
    <w:rsid w:val="00E329E6"/>
    <w:rsid w:val="00E32E33"/>
    <w:rsid w:val="00E33439"/>
    <w:rsid w:val="00E33547"/>
    <w:rsid w:val="00E33794"/>
    <w:rsid w:val="00E34570"/>
    <w:rsid w:val="00E34A3A"/>
    <w:rsid w:val="00E40A74"/>
    <w:rsid w:val="00E40EEC"/>
    <w:rsid w:val="00E41944"/>
    <w:rsid w:val="00E41F1C"/>
    <w:rsid w:val="00E42B88"/>
    <w:rsid w:val="00E42C7E"/>
    <w:rsid w:val="00E42FDD"/>
    <w:rsid w:val="00E44E54"/>
    <w:rsid w:val="00E45FFD"/>
    <w:rsid w:val="00E4729F"/>
    <w:rsid w:val="00E505C6"/>
    <w:rsid w:val="00E52DBA"/>
    <w:rsid w:val="00E52E7C"/>
    <w:rsid w:val="00E52EF2"/>
    <w:rsid w:val="00E5324B"/>
    <w:rsid w:val="00E54A60"/>
    <w:rsid w:val="00E55467"/>
    <w:rsid w:val="00E55B4F"/>
    <w:rsid w:val="00E55BBB"/>
    <w:rsid w:val="00E56BB1"/>
    <w:rsid w:val="00E56DC9"/>
    <w:rsid w:val="00E57CEB"/>
    <w:rsid w:val="00E60143"/>
    <w:rsid w:val="00E60172"/>
    <w:rsid w:val="00E614A6"/>
    <w:rsid w:val="00E61B65"/>
    <w:rsid w:val="00E61C58"/>
    <w:rsid w:val="00E64265"/>
    <w:rsid w:val="00E6479A"/>
    <w:rsid w:val="00E707E7"/>
    <w:rsid w:val="00E713C6"/>
    <w:rsid w:val="00E723B7"/>
    <w:rsid w:val="00E72587"/>
    <w:rsid w:val="00E72CD2"/>
    <w:rsid w:val="00E73B80"/>
    <w:rsid w:val="00E74273"/>
    <w:rsid w:val="00E74AD3"/>
    <w:rsid w:val="00E74C26"/>
    <w:rsid w:val="00E750DE"/>
    <w:rsid w:val="00E764A4"/>
    <w:rsid w:val="00E76A87"/>
    <w:rsid w:val="00E771F3"/>
    <w:rsid w:val="00E77A80"/>
    <w:rsid w:val="00E809CB"/>
    <w:rsid w:val="00E80C67"/>
    <w:rsid w:val="00E816CE"/>
    <w:rsid w:val="00E81990"/>
    <w:rsid w:val="00E81D19"/>
    <w:rsid w:val="00E821D4"/>
    <w:rsid w:val="00E82CF3"/>
    <w:rsid w:val="00E830B7"/>
    <w:rsid w:val="00E8325B"/>
    <w:rsid w:val="00E83BBB"/>
    <w:rsid w:val="00E84AB2"/>
    <w:rsid w:val="00E85264"/>
    <w:rsid w:val="00E856ED"/>
    <w:rsid w:val="00E85880"/>
    <w:rsid w:val="00E85CA7"/>
    <w:rsid w:val="00E8764B"/>
    <w:rsid w:val="00E8765F"/>
    <w:rsid w:val="00E87709"/>
    <w:rsid w:val="00E8798B"/>
    <w:rsid w:val="00E879F6"/>
    <w:rsid w:val="00E902E7"/>
    <w:rsid w:val="00E908C4"/>
    <w:rsid w:val="00E90D1D"/>
    <w:rsid w:val="00E90D8E"/>
    <w:rsid w:val="00E91109"/>
    <w:rsid w:val="00E91422"/>
    <w:rsid w:val="00E91CE1"/>
    <w:rsid w:val="00E921FA"/>
    <w:rsid w:val="00E92288"/>
    <w:rsid w:val="00E9318E"/>
    <w:rsid w:val="00E93AA2"/>
    <w:rsid w:val="00E93E6D"/>
    <w:rsid w:val="00E95DFF"/>
    <w:rsid w:val="00E960CA"/>
    <w:rsid w:val="00E978C4"/>
    <w:rsid w:val="00EA00C9"/>
    <w:rsid w:val="00EA0C09"/>
    <w:rsid w:val="00EA0EB5"/>
    <w:rsid w:val="00EA1982"/>
    <w:rsid w:val="00EA2C94"/>
    <w:rsid w:val="00EA319D"/>
    <w:rsid w:val="00EA4571"/>
    <w:rsid w:val="00EA4614"/>
    <w:rsid w:val="00EA5725"/>
    <w:rsid w:val="00EA7721"/>
    <w:rsid w:val="00EA7BDD"/>
    <w:rsid w:val="00EB0220"/>
    <w:rsid w:val="00EB0540"/>
    <w:rsid w:val="00EB10C1"/>
    <w:rsid w:val="00EB1D21"/>
    <w:rsid w:val="00EB2402"/>
    <w:rsid w:val="00EB279A"/>
    <w:rsid w:val="00EB3B0D"/>
    <w:rsid w:val="00EB3B36"/>
    <w:rsid w:val="00EB3B5F"/>
    <w:rsid w:val="00EB52FD"/>
    <w:rsid w:val="00EB5384"/>
    <w:rsid w:val="00EB5DAF"/>
    <w:rsid w:val="00EB6190"/>
    <w:rsid w:val="00EB6BA5"/>
    <w:rsid w:val="00EB6EE4"/>
    <w:rsid w:val="00EB7571"/>
    <w:rsid w:val="00EB78BA"/>
    <w:rsid w:val="00EB7D4A"/>
    <w:rsid w:val="00EC1072"/>
    <w:rsid w:val="00EC1339"/>
    <w:rsid w:val="00EC1FCF"/>
    <w:rsid w:val="00EC29B8"/>
    <w:rsid w:val="00EC2BAA"/>
    <w:rsid w:val="00EC2DDC"/>
    <w:rsid w:val="00EC310E"/>
    <w:rsid w:val="00EC3C98"/>
    <w:rsid w:val="00EC3DEF"/>
    <w:rsid w:val="00EC4652"/>
    <w:rsid w:val="00EC533C"/>
    <w:rsid w:val="00EC5EBA"/>
    <w:rsid w:val="00EC67AE"/>
    <w:rsid w:val="00EC6BE5"/>
    <w:rsid w:val="00EC7713"/>
    <w:rsid w:val="00ED104F"/>
    <w:rsid w:val="00ED208C"/>
    <w:rsid w:val="00ED25A5"/>
    <w:rsid w:val="00ED28D8"/>
    <w:rsid w:val="00ED3424"/>
    <w:rsid w:val="00ED48AF"/>
    <w:rsid w:val="00ED4B55"/>
    <w:rsid w:val="00ED5AC6"/>
    <w:rsid w:val="00ED5E0B"/>
    <w:rsid w:val="00ED6BC4"/>
    <w:rsid w:val="00EE0340"/>
    <w:rsid w:val="00EE0F53"/>
    <w:rsid w:val="00EE16EB"/>
    <w:rsid w:val="00EE2985"/>
    <w:rsid w:val="00EE302A"/>
    <w:rsid w:val="00EE3B59"/>
    <w:rsid w:val="00EE409A"/>
    <w:rsid w:val="00EE488E"/>
    <w:rsid w:val="00EE4DB6"/>
    <w:rsid w:val="00EE549A"/>
    <w:rsid w:val="00EE5DB1"/>
    <w:rsid w:val="00EE5E39"/>
    <w:rsid w:val="00EE6E4F"/>
    <w:rsid w:val="00EE788C"/>
    <w:rsid w:val="00EE7F94"/>
    <w:rsid w:val="00EF37FB"/>
    <w:rsid w:val="00EF3B8C"/>
    <w:rsid w:val="00EF46DD"/>
    <w:rsid w:val="00EF591E"/>
    <w:rsid w:val="00EF6902"/>
    <w:rsid w:val="00EF70F3"/>
    <w:rsid w:val="00EF79BD"/>
    <w:rsid w:val="00EF7D5B"/>
    <w:rsid w:val="00F00736"/>
    <w:rsid w:val="00F007D1"/>
    <w:rsid w:val="00F01210"/>
    <w:rsid w:val="00F03C5B"/>
    <w:rsid w:val="00F04982"/>
    <w:rsid w:val="00F07935"/>
    <w:rsid w:val="00F101DA"/>
    <w:rsid w:val="00F105FC"/>
    <w:rsid w:val="00F1082F"/>
    <w:rsid w:val="00F11ED4"/>
    <w:rsid w:val="00F12E52"/>
    <w:rsid w:val="00F140B1"/>
    <w:rsid w:val="00F151E8"/>
    <w:rsid w:val="00F1578E"/>
    <w:rsid w:val="00F15CC6"/>
    <w:rsid w:val="00F15EAC"/>
    <w:rsid w:val="00F15FAD"/>
    <w:rsid w:val="00F162EE"/>
    <w:rsid w:val="00F163C4"/>
    <w:rsid w:val="00F165DD"/>
    <w:rsid w:val="00F213AB"/>
    <w:rsid w:val="00F218A6"/>
    <w:rsid w:val="00F2473C"/>
    <w:rsid w:val="00F24D7B"/>
    <w:rsid w:val="00F25EDE"/>
    <w:rsid w:val="00F2702C"/>
    <w:rsid w:val="00F27559"/>
    <w:rsid w:val="00F279D8"/>
    <w:rsid w:val="00F27B49"/>
    <w:rsid w:val="00F3054A"/>
    <w:rsid w:val="00F30DBF"/>
    <w:rsid w:val="00F31F81"/>
    <w:rsid w:val="00F326DD"/>
    <w:rsid w:val="00F32D77"/>
    <w:rsid w:val="00F338A3"/>
    <w:rsid w:val="00F340D1"/>
    <w:rsid w:val="00F345BA"/>
    <w:rsid w:val="00F35910"/>
    <w:rsid w:val="00F3698B"/>
    <w:rsid w:val="00F40273"/>
    <w:rsid w:val="00F40544"/>
    <w:rsid w:val="00F413EB"/>
    <w:rsid w:val="00F41795"/>
    <w:rsid w:val="00F426D2"/>
    <w:rsid w:val="00F431D4"/>
    <w:rsid w:val="00F4334E"/>
    <w:rsid w:val="00F43590"/>
    <w:rsid w:val="00F44790"/>
    <w:rsid w:val="00F44802"/>
    <w:rsid w:val="00F453E1"/>
    <w:rsid w:val="00F46E44"/>
    <w:rsid w:val="00F4728B"/>
    <w:rsid w:val="00F478D3"/>
    <w:rsid w:val="00F50483"/>
    <w:rsid w:val="00F50AC7"/>
    <w:rsid w:val="00F50E10"/>
    <w:rsid w:val="00F50E22"/>
    <w:rsid w:val="00F512BF"/>
    <w:rsid w:val="00F51C6A"/>
    <w:rsid w:val="00F51CEE"/>
    <w:rsid w:val="00F51CF8"/>
    <w:rsid w:val="00F535B4"/>
    <w:rsid w:val="00F5410A"/>
    <w:rsid w:val="00F54CA9"/>
    <w:rsid w:val="00F5542F"/>
    <w:rsid w:val="00F556A6"/>
    <w:rsid w:val="00F55BE2"/>
    <w:rsid w:val="00F56482"/>
    <w:rsid w:val="00F56581"/>
    <w:rsid w:val="00F5716A"/>
    <w:rsid w:val="00F6021F"/>
    <w:rsid w:val="00F60F87"/>
    <w:rsid w:val="00F613AD"/>
    <w:rsid w:val="00F61783"/>
    <w:rsid w:val="00F623B3"/>
    <w:rsid w:val="00F63161"/>
    <w:rsid w:val="00F6459F"/>
    <w:rsid w:val="00F64670"/>
    <w:rsid w:val="00F64895"/>
    <w:rsid w:val="00F65568"/>
    <w:rsid w:val="00F66D54"/>
    <w:rsid w:val="00F6740F"/>
    <w:rsid w:val="00F674DB"/>
    <w:rsid w:val="00F6798C"/>
    <w:rsid w:val="00F707D9"/>
    <w:rsid w:val="00F708FC"/>
    <w:rsid w:val="00F7391F"/>
    <w:rsid w:val="00F739BA"/>
    <w:rsid w:val="00F739E1"/>
    <w:rsid w:val="00F73D7F"/>
    <w:rsid w:val="00F751A1"/>
    <w:rsid w:val="00F75357"/>
    <w:rsid w:val="00F769FE"/>
    <w:rsid w:val="00F76B03"/>
    <w:rsid w:val="00F77B11"/>
    <w:rsid w:val="00F77B83"/>
    <w:rsid w:val="00F77D92"/>
    <w:rsid w:val="00F8103C"/>
    <w:rsid w:val="00F8126B"/>
    <w:rsid w:val="00F82D90"/>
    <w:rsid w:val="00F838FF"/>
    <w:rsid w:val="00F859C6"/>
    <w:rsid w:val="00F86013"/>
    <w:rsid w:val="00F864B8"/>
    <w:rsid w:val="00F86717"/>
    <w:rsid w:val="00F87C4E"/>
    <w:rsid w:val="00F87E9E"/>
    <w:rsid w:val="00F9045D"/>
    <w:rsid w:val="00F9156E"/>
    <w:rsid w:val="00F92542"/>
    <w:rsid w:val="00F93CE5"/>
    <w:rsid w:val="00F94113"/>
    <w:rsid w:val="00F94658"/>
    <w:rsid w:val="00F96E70"/>
    <w:rsid w:val="00F97BAC"/>
    <w:rsid w:val="00F97F2E"/>
    <w:rsid w:val="00FA004E"/>
    <w:rsid w:val="00FA07B8"/>
    <w:rsid w:val="00FA0808"/>
    <w:rsid w:val="00FA1593"/>
    <w:rsid w:val="00FA263F"/>
    <w:rsid w:val="00FA2B9C"/>
    <w:rsid w:val="00FA3842"/>
    <w:rsid w:val="00FA3BD1"/>
    <w:rsid w:val="00FA5232"/>
    <w:rsid w:val="00FA6B32"/>
    <w:rsid w:val="00FA7272"/>
    <w:rsid w:val="00FA78AB"/>
    <w:rsid w:val="00FB0432"/>
    <w:rsid w:val="00FB07DB"/>
    <w:rsid w:val="00FB1073"/>
    <w:rsid w:val="00FB18E6"/>
    <w:rsid w:val="00FB1B0B"/>
    <w:rsid w:val="00FB1E5D"/>
    <w:rsid w:val="00FB1F84"/>
    <w:rsid w:val="00FB24D6"/>
    <w:rsid w:val="00FB2635"/>
    <w:rsid w:val="00FB2DE1"/>
    <w:rsid w:val="00FB426B"/>
    <w:rsid w:val="00FB4764"/>
    <w:rsid w:val="00FB48CD"/>
    <w:rsid w:val="00FB4A0C"/>
    <w:rsid w:val="00FB58AE"/>
    <w:rsid w:val="00FB62DF"/>
    <w:rsid w:val="00FB756A"/>
    <w:rsid w:val="00FB7FD9"/>
    <w:rsid w:val="00FC009E"/>
    <w:rsid w:val="00FC04F3"/>
    <w:rsid w:val="00FC0936"/>
    <w:rsid w:val="00FC09B0"/>
    <w:rsid w:val="00FC09FB"/>
    <w:rsid w:val="00FC19DB"/>
    <w:rsid w:val="00FC28EA"/>
    <w:rsid w:val="00FC36E3"/>
    <w:rsid w:val="00FC3FF7"/>
    <w:rsid w:val="00FC46CC"/>
    <w:rsid w:val="00FC5225"/>
    <w:rsid w:val="00FC6446"/>
    <w:rsid w:val="00FC68BA"/>
    <w:rsid w:val="00FD0281"/>
    <w:rsid w:val="00FD03B5"/>
    <w:rsid w:val="00FD04C9"/>
    <w:rsid w:val="00FD0DD1"/>
    <w:rsid w:val="00FD1425"/>
    <w:rsid w:val="00FD1452"/>
    <w:rsid w:val="00FD2298"/>
    <w:rsid w:val="00FD3A63"/>
    <w:rsid w:val="00FD5FBE"/>
    <w:rsid w:val="00FD6CFD"/>
    <w:rsid w:val="00FD7074"/>
    <w:rsid w:val="00FD7AAC"/>
    <w:rsid w:val="00FD7C74"/>
    <w:rsid w:val="00FD7D84"/>
    <w:rsid w:val="00FE004E"/>
    <w:rsid w:val="00FE05FE"/>
    <w:rsid w:val="00FE0AAE"/>
    <w:rsid w:val="00FE0D85"/>
    <w:rsid w:val="00FE1587"/>
    <w:rsid w:val="00FE2940"/>
    <w:rsid w:val="00FE2D83"/>
    <w:rsid w:val="00FE41FE"/>
    <w:rsid w:val="00FE464A"/>
    <w:rsid w:val="00FE4AF4"/>
    <w:rsid w:val="00FE6425"/>
    <w:rsid w:val="00FE6DCE"/>
    <w:rsid w:val="00FF0778"/>
    <w:rsid w:val="00FF0DCC"/>
    <w:rsid w:val="00FF2156"/>
    <w:rsid w:val="00FF2C2D"/>
    <w:rsid w:val="00FF37D1"/>
    <w:rsid w:val="00FF3976"/>
    <w:rsid w:val="00FF3C6D"/>
    <w:rsid w:val="00FF3DF7"/>
    <w:rsid w:val="00FF58C8"/>
    <w:rsid w:val="00FF5C56"/>
    <w:rsid w:val="00FF63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A67B17E-1522-45DA-B686-3C0EB0F3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172"/>
    <w:rPr>
      <w:sz w:val="24"/>
      <w:szCs w:val="24"/>
    </w:rPr>
  </w:style>
  <w:style w:type="paragraph" w:styleId="Ttulo1">
    <w:name w:val="heading 1"/>
    <w:basedOn w:val="Normal"/>
    <w:next w:val="Normal"/>
    <w:link w:val="Ttulo1Car"/>
    <w:qFormat/>
    <w:rsid w:val="00E60172"/>
    <w:pPr>
      <w:keepNext/>
      <w:tabs>
        <w:tab w:val="left" w:pos="-1440"/>
        <w:tab w:val="left" w:pos="-720"/>
        <w:tab w:val="left" w:pos="454"/>
      </w:tabs>
      <w:suppressAutoHyphens/>
      <w:ind w:left="680" w:hanging="680"/>
      <w:jc w:val="both"/>
      <w:outlineLvl w:val="0"/>
    </w:pPr>
    <w:rPr>
      <w:rFonts w:ascii="Arial" w:hAnsi="Arial"/>
      <w:b/>
      <w:spacing w:val="-3"/>
      <w:sz w:val="20"/>
      <w:szCs w:val="20"/>
      <w:lang w:eastAsia="es-ES"/>
    </w:rPr>
  </w:style>
  <w:style w:type="paragraph" w:styleId="Ttulo2">
    <w:name w:val="heading 2"/>
    <w:basedOn w:val="Normal"/>
    <w:next w:val="Normal"/>
    <w:qFormat/>
    <w:rsid w:val="00E6017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60172"/>
    <w:pPr>
      <w:keepNext/>
      <w:spacing w:before="240" w:after="60"/>
      <w:outlineLvl w:val="2"/>
    </w:pPr>
    <w:rPr>
      <w:rFonts w:ascii="Arial" w:hAnsi="Arial" w:cs="Arial"/>
      <w:b/>
      <w:bCs/>
      <w:sz w:val="26"/>
      <w:szCs w:val="26"/>
    </w:rPr>
  </w:style>
  <w:style w:type="paragraph" w:styleId="Ttulo4">
    <w:name w:val="heading 4"/>
    <w:basedOn w:val="Normal"/>
    <w:next w:val="Normal"/>
    <w:qFormat/>
    <w:rsid w:val="00E60172"/>
    <w:pPr>
      <w:keepNext/>
      <w:spacing w:before="240" w:after="60"/>
      <w:outlineLvl w:val="3"/>
    </w:pPr>
    <w:rPr>
      <w:b/>
      <w:bCs/>
      <w:sz w:val="28"/>
      <w:szCs w:val="28"/>
    </w:rPr>
  </w:style>
  <w:style w:type="paragraph" w:styleId="Ttulo5">
    <w:name w:val="heading 5"/>
    <w:basedOn w:val="Normal"/>
    <w:next w:val="Normal"/>
    <w:qFormat/>
    <w:rsid w:val="00E60172"/>
    <w:pPr>
      <w:keepNext/>
      <w:outlineLvl w:val="4"/>
    </w:pPr>
    <w:rPr>
      <w:rFonts w:ascii="Arial" w:hAnsi="Arial"/>
      <w:b/>
      <w:color w:val="000080"/>
      <w:sz w:val="14"/>
      <w:szCs w:val="20"/>
      <w:lang w:val="es-ES" w:eastAsia="es-ES"/>
    </w:rPr>
  </w:style>
  <w:style w:type="paragraph" w:styleId="Ttulo6">
    <w:name w:val="heading 6"/>
    <w:basedOn w:val="Normal"/>
    <w:next w:val="Normal"/>
    <w:qFormat/>
    <w:rsid w:val="00E60172"/>
    <w:pPr>
      <w:keepNext/>
      <w:outlineLvl w:val="5"/>
    </w:pPr>
    <w:rPr>
      <w:rFonts w:ascii="Arial" w:hAnsi="Arial"/>
      <w:b/>
      <w:color w:val="000080"/>
      <w:sz w:val="12"/>
      <w:szCs w:val="20"/>
      <w:lang w:val="es-ES" w:eastAsia="es-ES"/>
    </w:rPr>
  </w:style>
  <w:style w:type="paragraph" w:styleId="Ttulo7">
    <w:name w:val="heading 7"/>
    <w:basedOn w:val="Normal"/>
    <w:next w:val="Normal"/>
    <w:qFormat/>
    <w:rsid w:val="00E60172"/>
    <w:pPr>
      <w:keepNext/>
      <w:spacing w:after="60"/>
      <w:jc w:val="center"/>
      <w:outlineLvl w:val="6"/>
    </w:pPr>
    <w:rPr>
      <w:rFonts w:ascii="Arial" w:hAnsi="Arial" w:cs="Arial"/>
      <w:b/>
      <w:bCs/>
      <w:sz w:val="20"/>
      <w:lang w:val="es-ES" w:eastAsia="es-ES"/>
    </w:rPr>
  </w:style>
  <w:style w:type="paragraph" w:styleId="Ttulo8">
    <w:name w:val="heading 8"/>
    <w:basedOn w:val="Normal"/>
    <w:next w:val="Normal"/>
    <w:qFormat/>
    <w:rsid w:val="00E60172"/>
    <w:pPr>
      <w:keepNext/>
      <w:spacing w:before="20" w:after="20"/>
      <w:ind w:left="85"/>
      <w:outlineLvl w:val="7"/>
    </w:pPr>
    <w:rPr>
      <w:rFonts w:ascii="Arial" w:hAnsi="Arial" w:cs="Arial"/>
      <w:b/>
      <w:bCs/>
      <w:sz w:val="16"/>
      <w:lang w:val="es-ES" w:eastAsia="es-ES"/>
    </w:rPr>
  </w:style>
  <w:style w:type="paragraph" w:styleId="Ttulo9">
    <w:name w:val="heading 9"/>
    <w:basedOn w:val="Normal"/>
    <w:next w:val="Normal"/>
    <w:qFormat/>
    <w:rsid w:val="00E6017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60172"/>
    <w:pPr>
      <w:tabs>
        <w:tab w:val="center" w:pos="4419"/>
        <w:tab w:val="right" w:pos="8838"/>
      </w:tabs>
    </w:pPr>
  </w:style>
  <w:style w:type="paragraph" w:styleId="Piedepgina">
    <w:name w:val="footer"/>
    <w:basedOn w:val="Normal"/>
    <w:link w:val="PiedepginaCar"/>
    <w:uiPriority w:val="99"/>
    <w:rsid w:val="00E60172"/>
    <w:pPr>
      <w:tabs>
        <w:tab w:val="center" w:pos="4419"/>
        <w:tab w:val="right" w:pos="8838"/>
      </w:tabs>
    </w:pPr>
  </w:style>
  <w:style w:type="character" w:styleId="Nmerodepgina">
    <w:name w:val="page number"/>
    <w:basedOn w:val="Fuentedeprrafopredeter"/>
    <w:rsid w:val="00E60172"/>
  </w:style>
  <w:style w:type="paragraph" w:styleId="Textoindependiente">
    <w:name w:val="Body Text"/>
    <w:basedOn w:val="Normal"/>
    <w:rsid w:val="00E60172"/>
    <w:pPr>
      <w:suppressAutoHyphens/>
      <w:spacing w:before="200" w:line="320" w:lineRule="atLeast"/>
      <w:jc w:val="both"/>
    </w:pPr>
    <w:rPr>
      <w:rFonts w:ascii="Arial" w:hAnsi="Arial"/>
      <w:sz w:val="22"/>
      <w:szCs w:val="20"/>
      <w:lang w:eastAsia="es-ES"/>
    </w:rPr>
  </w:style>
  <w:style w:type="paragraph" w:styleId="Textoindependiente2">
    <w:name w:val="Body Text 2"/>
    <w:basedOn w:val="Normal"/>
    <w:link w:val="Textoindependiente2Car"/>
    <w:uiPriority w:val="99"/>
    <w:rsid w:val="00E60172"/>
    <w:pPr>
      <w:jc w:val="both"/>
    </w:pPr>
    <w:rPr>
      <w:rFonts w:ascii="Arial" w:hAnsi="Arial"/>
      <w:sz w:val="20"/>
      <w:szCs w:val="20"/>
      <w:lang w:val="es-ES" w:eastAsia="es-ES"/>
    </w:rPr>
  </w:style>
  <w:style w:type="paragraph" w:customStyle="1" w:styleId="E01-IIIIII">
    <w:name w:val="E01 - I  II  III"/>
    <w:rsid w:val="00E60172"/>
    <w:pPr>
      <w:keepLines/>
      <w:widowControl w:val="0"/>
      <w:tabs>
        <w:tab w:val="left" w:pos="454"/>
      </w:tabs>
      <w:ind w:left="454" w:hanging="454"/>
      <w:outlineLvl w:val="0"/>
    </w:pPr>
    <w:rPr>
      <w:rFonts w:ascii="Arial" w:hAnsi="Arial"/>
      <w:b/>
      <w:color w:val="000000"/>
      <w:bdr w:val="single" w:sz="4" w:space="0" w:color="auto"/>
      <w:shd w:val="pct25" w:color="auto" w:fill="auto"/>
      <w:lang w:val="es-ES" w:eastAsia="es-ES"/>
    </w:rPr>
  </w:style>
  <w:style w:type="paragraph" w:styleId="Textoindependiente3">
    <w:name w:val="Body Text 3"/>
    <w:basedOn w:val="Normal"/>
    <w:rsid w:val="00E60172"/>
    <w:pPr>
      <w:spacing w:after="120"/>
    </w:pPr>
    <w:rPr>
      <w:sz w:val="16"/>
      <w:szCs w:val="16"/>
    </w:rPr>
  </w:style>
  <w:style w:type="paragraph" w:customStyle="1" w:styleId="xl15">
    <w:name w:val="xl15"/>
    <w:basedOn w:val="Normal"/>
    <w:rsid w:val="00E60172"/>
    <w:pPr>
      <w:spacing w:before="100" w:after="100"/>
      <w:textAlignment w:val="bottom"/>
    </w:pPr>
    <w:rPr>
      <w:rFonts w:ascii="Arial" w:hAnsi="Arial"/>
      <w:sz w:val="20"/>
      <w:szCs w:val="20"/>
      <w:lang w:val="es-ES" w:eastAsia="es-ES"/>
    </w:rPr>
  </w:style>
  <w:style w:type="paragraph" w:customStyle="1" w:styleId="bala11pts">
    <w:name w:val="bala/11 pts"/>
    <w:basedOn w:val="Normal"/>
    <w:rsid w:val="00E60172"/>
    <w:pPr>
      <w:numPr>
        <w:numId w:val="1"/>
      </w:numPr>
      <w:spacing w:after="100" w:line="280" w:lineRule="exact"/>
      <w:jc w:val="both"/>
    </w:pPr>
    <w:rPr>
      <w:rFonts w:ascii="PalmSprings" w:hAnsi="PalmSprings"/>
      <w:sz w:val="22"/>
      <w:szCs w:val="20"/>
      <w:lang w:val="es-ES_tradnl" w:eastAsia="es-ES"/>
    </w:rPr>
  </w:style>
  <w:style w:type="paragraph" w:styleId="Subttulo">
    <w:name w:val="Subtitle"/>
    <w:basedOn w:val="Normal"/>
    <w:qFormat/>
    <w:rsid w:val="00E60172"/>
    <w:pPr>
      <w:keepLines/>
      <w:widowControl w:val="0"/>
      <w:jc w:val="center"/>
    </w:pPr>
    <w:rPr>
      <w:rFonts w:ascii="Arial" w:hAnsi="Arial"/>
      <w:b/>
      <w:sz w:val="20"/>
      <w:lang w:eastAsia="es-ES"/>
    </w:rPr>
  </w:style>
  <w:style w:type="paragraph" w:styleId="Puesto">
    <w:name w:val="Title"/>
    <w:basedOn w:val="Normal"/>
    <w:qFormat/>
    <w:rsid w:val="00E60172"/>
    <w:pPr>
      <w:jc w:val="center"/>
    </w:pPr>
    <w:rPr>
      <w:rFonts w:ascii="Arial" w:hAnsi="Arial"/>
      <w:b/>
      <w:sz w:val="20"/>
      <w:szCs w:val="20"/>
      <w:lang w:eastAsia="es-ES"/>
    </w:rPr>
  </w:style>
  <w:style w:type="paragraph" w:customStyle="1" w:styleId="PARRAFO-SIN">
    <w:name w:val="PARRAFO-SIN"/>
    <w:basedOn w:val="Normal"/>
    <w:rsid w:val="00E60172"/>
    <w:pPr>
      <w:spacing w:before="60" w:line="300" w:lineRule="exact"/>
      <w:jc w:val="both"/>
    </w:pPr>
    <w:rPr>
      <w:sz w:val="22"/>
      <w:szCs w:val="20"/>
      <w:lang w:eastAsia="es-ES"/>
    </w:rPr>
  </w:style>
  <w:style w:type="paragraph" w:customStyle="1" w:styleId="a">
    <w:basedOn w:val="Normal"/>
    <w:next w:val="Sangradetextonormal"/>
    <w:rsid w:val="00E60172"/>
    <w:pPr>
      <w:ind w:left="567"/>
      <w:jc w:val="both"/>
    </w:pPr>
    <w:rPr>
      <w:rFonts w:ascii="Arial" w:hAnsi="Arial"/>
      <w:sz w:val="20"/>
      <w:lang w:val="es-ES" w:eastAsia="es-ES"/>
    </w:rPr>
  </w:style>
  <w:style w:type="paragraph" w:styleId="Sangradetextonormal">
    <w:name w:val="Body Text Indent"/>
    <w:basedOn w:val="Normal"/>
    <w:rsid w:val="00E60172"/>
    <w:pPr>
      <w:spacing w:after="120"/>
      <w:ind w:left="283"/>
    </w:pPr>
  </w:style>
  <w:style w:type="paragraph" w:customStyle="1" w:styleId="Texto">
    <w:name w:val="Texto"/>
    <w:rsid w:val="00E60172"/>
    <w:pPr>
      <w:spacing w:after="360" w:line="360" w:lineRule="auto"/>
      <w:ind w:left="144" w:right="144"/>
      <w:jc w:val="both"/>
    </w:pPr>
    <w:rPr>
      <w:rFonts w:ascii="Helvetica" w:hAnsi="Helvetica"/>
      <w:sz w:val="22"/>
      <w:lang w:val="es-ES_tradnl" w:eastAsia="es-ES"/>
    </w:rPr>
  </w:style>
  <w:style w:type="paragraph" w:customStyle="1" w:styleId="Textoindependiente31">
    <w:name w:val="Texto independiente 31"/>
    <w:basedOn w:val="Normal"/>
    <w:rsid w:val="00E60172"/>
    <w:pPr>
      <w:widowControl w:val="0"/>
      <w:jc w:val="both"/>
    </w:pPr>
    <w:rPr>
      <w:rFonts w:ascii="CG Times" w:hAnsi="CG Times"/>
      <w:szCs w:val="20"/>
      <w:lang w:eastAsia="es-ES"/>
    </w:rPr>
  </w:style>
  <w:style w:type="paragraph" w:customStyle="1" w:styleId="VIETABLANCA">
    <w:name w:val="_VIÑETA BLANCA"/>
    <w:basedOn w:val="Normal"/>
    <w:rsid w:val="00E60172"/>
    <w:pPr>
      <w:numPr>
        <w:numId w:val="2"/>
      </w:numPr>
      <w:spacing w:before="120" w:after="120" w:line="240" w:lineRule="exact"/>
      <w:jc w:val="both"/>
    </w:pPr>
    <w:rPr>
      <w:sz w:val="22"/>
      <w:lang w:val="es-ES" w:eastAsia="es-ES"/>
    </w:rPr>
  </w:style>
  <w:style w:type="character" w:customStyle="1" w:styleId="SIGLAS">
    <w:name w:val="_SIGLAS"/>
    <w:rsid w:val="00E60172"/>
    <w:rPr>
      <w:caps/>
      <w:sz w:val="20"/>
    </w:rPr>
  </w:style>
  <w:style w:type="paragraph" w:styleId="Textodebloque">
    <w:name w:val="Block Text"/>
    <w:basedOn w:val="Normal"/>
    <w:rsid w:val="00E60172"/>
    <w:pPr>
      <w:ind w:left="85" w:right="85"/>
      <w:jc w:val="both"/>
    </w:pPr>
    <w:rPr>
      <w:rFonts w:ascii="Arial" w:hAnsi="Arial" w:cs="Arial"/>
      <w:bCs/>
      <w:sz w:val="20"/>
      <w:lang w:val="es-ES" w:eastAsia="es-ES"/>
    </w:rPr>
  </w:style>
  <w:style w:type="paragraph" w:customStyle="1" w:styleId="Textoindependiente21">
    <w:name w:val="Texto independiente 21"/>
    <w:basedOn w:val="Normal"/>
    <w:rsid w:val="00E60172"/>
    <w:pPr>
      <w:spacing w:line="360" w:lineRule="auto"/>
      <w:ind w:firstLine="708"/>
      <w:jc w:val="both"/>
    </w:pPr>
    <w:rPr>
      <w:rFonts w:ascii="Arial Narrow" w:hAnsi="Arial Narrow"/>
      <w:szCs w:val="20"/>
      <w:lang w:val="es-ES_tradnl" w:eastAsia="es-ES"/>
    </w:rPr>
  </w:style>
  <w:style w:type="paragraph" w:customStyle="1" w:styleId="xl64">
    <w:name w:val="xl64"/>
    <w:basedOn w:val="Normal"/>
    <w:rsid w:val="00E60172"/>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31">
    <w:name w:val="xl31"/>
    <w:basedOn w:val="Normal"/>
    <w:rsid w:val="00E6017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0"/>
      <w:szCs w:val="10"/>
      <w:lang w:val="es-ES" w:eastAsia="es-ES"/>
    </w:rPr>
  </w:style>
  <w:style w:type="paragraph" w:customStyle="1" w:styleId="xl24">
    <w:name w:val="xl24"/>
    <w:basedOn w:val="Normal"/>
    <w:rsid w:val="00E60172"/>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s-ES" w:eastAsia="es-ES"/>
    </w:rPr>
  </w:style>
  <w:style w:type="paragraph" w:customStyle="1" w:styleId="xl39">
    <w:name w:val="xl39"/>
    <w:basedOn w:val="Normal"/>
    <w:rsid w:val="00E60172"/>
    <w:pPr>
      <w:spacing w:before="100" w:beforeAutospacing="1" w:after="100" w:afterAutospacing="1"/>
    </w:pPr>
    <w:rPr>
      <w:rFonts w:ascii="Arial" w:eastAsia="Arial Unicode MS" w:hAnsi="Arial" w:cs="Arial"/>
      <w:b/>
      <w:bCs/>
      <w:sz w:val="12"/>
      <w:szCs w:val="12"/>
      <w:lang w:val="es-ES" w:eastAsia="es-ES"/>
    </w:rPr>
  </w:style>
  <w:style w:type="paragraph" w:customStyle="1" w:styleId="Body2Text222">
    <w:name w:val="Body2.Text2.22"/>
    <w:basedOn w:val="Normal"/>
    <w:rsid w:val="00E60172"/>
    <w:pPr>
      <w:jc w:val="both"/>
    </w:pPr>
    <w:rPr>
      <w:rFonts w:ascii="Arial" w:hAnsi="Arial"/>
      <w:sz w:val="20"/>
      <w:szCs w:val="20"/>
      <w:lang w:val="es-ES_tradnl" w:eastAsia="es-ES"/>
    </w:rPr>
  </w:style>
  <w:style w:type="paragraph" w:customStyle="1" w:styleId="Encabezado4">
    <w:name w:val="Encabezado4"/>
    <w:basedOn w:val="Normal"/>
    <w:rsid w:val="00E60172"/>
    <w:pPr>
      <w:spacing w:after="240"/>
    </w:pPr>
    <w:rPr>
      <w:rFonts w:ascii="Arial Narrow" w:hAnsi="Arial Narrow"/>
      <w:caps/>
      <w:sz w:val="20"/>
      <w:szCs w:val="20"/>
      <w:lang w:val="es-ES_tradnl" w:eastAsia="es-ES"/>
    </w:rPr>
  </w:style>
  <w:style w:type="paragraph" w:styleId="Continuarlista">
    <w:name w:val="List Continue"/>
    <w:basedOn w:val="Normal"/>
    <w:rsid w:val="00E60172"/>
    <w:pPr>
      <w:spacing w:after="120"/>
      <w:ind w:left="283"/>
    </w:pPr>
    <w:rPr>
      <w:rFonts w:ascii="Arial" w:hAnsi="Arial"/>
      <w:szCs w:val="20"/>
      <w:lang w:val="es-ES_tradnl" w:eastAsia="es-ES"/>
    </w:rPr>
  </w:style>
  <w:style w:type="paragraph" w:styleId="Sangra2detindependiente">
    <w:name w:val="Body Text Indent 2"/>
    <w:basedOn w:val="Normal"/>
    <w:rsid w:val="00E60172"/>
    <w:pPr>
      <w:ind w:left="3420" w:hanging="3420"/>
      <w:jc w:val="both"/>
    </w:pPr>
    <w:rPr>
      <w:lang w:val="es-ES" w:eastAsia="es-ES"/>
    </w:rPr>
  </w:style>
  <w:style w:type="paragraph" w:styleId="Sangra3detindependiente">
    <w:name w:val="Body Text Indent 3"/>
    <w:basedOn w:val="Normal"/>
    <w:rsid w:val="00E60172"/>
    <w:pPr>
      <w:ind w:left="3060" w:hanging="3060"/>
      <w:jc w:val="both"/>
    </w:pPr>
    <w:rPr>
      <w:rFonts w:ascii="Arial" w:hAnsi="Arial" w:cs="Arial"/>
      <w:i/>
      <w:sz w:val="20"/>
      <w:lang w:val="es-ES" w:eastAsia="es-ES"/>
    </w:rPr>
  </w:style>
  <w:style w:type="paragraph" w:customStyle="1" w:styleId="xl25">
    <w:name w:val="xl25"/>
    <w:basedOn w:val="Normal"/>
    <w:rsid w:val="00E60172"/>
    <w:pPr>
      <w:pBdr>
        <w:right w:val="single" w:sz="4" w:space="0" w:color="auto"/>
      </w:pBdr>
      <w:spacing w:before="100" w:beforeAutospacing="1" w:after="100" w:afterAutospacing="1"/>
      <w:jc w:val="right"/>
      <w:textAlignment w:val="center"/>
    </w:pPr>
    <w:rPr>
      <w:rFonts w:ascii="Arial" w:eastAsia="Arial Unicode MS" w:hAnsi="Arial" w:cs="Arial"/>
      <w:b/>
      <w:bCs/>
      <w:sz w:val="13"/>
      <w:szCs w:val="13"/>
      <w:lang w:val="es-ES" w:eastAsia="es-ES"/>
    </w:rPr>
  </w:style>
  <w:style w:type="paragraph" w:customStyle="1" w:styleId="E02-TemasIyII">
    <w:name w:val="E02 - Temas  I  y  II"/>
    <w:rsid w:val="00E60172"/>
    <w:pPr>
      <w:jc w:val="both"/>
      <w:outlineLvl w:val="1"/>
    </w:pPr>
    <w:rPr>
      <w:rFonts w:ascii="Arial" w:hAnsi="Arial"/>
      <w:b/>
      <w:color w:val="000000"/>
      <w:lang w:val="es-ES" w:eastAsia="es-ES"/>
    </w:rPr>
  </w:style>
  <w:style w:type="paragraph" w:customStyle="1" w:styleId="E03-III1III2">
    <w:name w:val="E03 - III.1   III.2"/>
    <w:rsid w:val="00E60172"/>
    <w:pPr>
      <w:tabs>
        <w:tab w:val="left" w:pos="539"/>
      </w:tabs>
      <w:ind w:left="539" w:hanging="539"/>
      <w:outlineLvl w:val="0"/>
    </w:pPr>
    <w:rPr>
      <w:rFonts w:ascii="Arial" w:hAnsi="Arial"/>
      <w:b/>
      <w:caps/>
      <w:color w:val="000000"/>
      <w:lang w:val="es-ES" w:eastAsia="es-ES"/>
    </w:rPr>
  </w:style>
  <w:style w:type="paragraph" w:customStyle="1" w:styleId="E04-TemasIII1">
    <w:name w:val="E04 - Temas  III.1"/>
    <w:rsid w:val="00E60172"/>
    <w:pPr>
      <w:outlineLvl w:val="1"/>
    </w:pPr>
    <w:rPr>
      <w:rFonts w:ascii="Arial" w:hAnsi="Arial"/>
      <w:b/>
      <w:caps/>
      <w:color w:val="000000"/>
      <w:lang w:val="es-ES" w:eastAsia="es-ES"/>
    </w:rPr>
  </w:style>
  <w:style w:type="paragraph" w:customStyle="1" w:styleId="E05-Funcin">
    <w:name w:val="E05 - Función"/>
    <w:rsid w:val="00E60172"/>
    <w:pPr>
      <w:tabs>
        <w:tab w:val="left" w:pos="1162"/>
      </w:tabs>
      <w:ind w:left="1162" w:hanging="1162"/>
      <w:outlineLvl w:val="2"/>
    </w:pPr>
    <w:rPr>
      <w:rFonts w:ascii="Arial" w:hAnsi="Arial"/>
      <w:b/>
      <w:color w:val="000000"/>
      <w:lang w:val="es-ES" w:eastAsia="es-ES"/>
    </w:rPr>
  </w:style>
  <w:style w:type="paragraph" w:customStyle="1" w:styleId="E06-Subfuncin">
    <w:name w:val="E06 - Subfunción"/>
    <w:rsid w:val="00E60172"/>
    <w:pPr>
      <w:tabs>
        <w:tab w:val="left" w:pos="1559"/>
      </w:tabs>
      <w:ind w:left="1559" w:hanging="1559"/>
      <w:jc w:val="both"/>
      <w:outlineLvl w:val="3"/>
    </w:pPr>
    <w:rPr>
      <w:rFonts w:ascii="Arial" w:hAnsi="Arial"/>
      <w:color w:val="000000"/>
      <w:lang w:val="es-ES" w:eastAsia="es-ES"/>
    </w:rPr>
  </w:style>
  <w:style w:type="paragraph" w:customStyle="1" w:styleId="E07-ProgramaEspecial">
    <w:name w:val="E07 - Programa Especial"/>
    <w:rsid w:val="00E60172"/>
    <w:pPr>
      <w:tabs>
        <w:tab w:val="left" w:pos="2410"/>
      </w:tabs>
      <w:ind w:left="2410" w:hanging="2410"/>
      <w:jc w:val="both"/>
      <w:outlineLvl w:val="4"/>
    </w:pPr>
    <w:rPr>
      <w:rFonts w:ascii="Arial" w:hAnsi="Arial"/>
      <w:color w:val="000000"/>
      <w:lang w:val="es-ES" w:eastAsia="es-ES"/>
    </w:rPr>
  </w:style>
  <w:style w:type="paragraph" w:customStyle="1" w:styleId="E08-ActividadInstitucional">
    <w:name w:val="E08 - Actividad Institucional"/>
    <w:rsid w:val="00E60172"/>
    <w:pPr>
      <w:tabs>
        <w:tab w:val="left" w:pos="2835"/>
      </w:tabs>
      <w:ind w:left="2835" w:hanging="2835"/>
      <w:jc w:val="both"/>
      <w:outlineLvl w:val="5"/>
    </w:pPr>
    <w:rPr>
      <w:rFonts w:ascii="Arial" w:hAnsi="Arial"/>
      <w:color w:val="000000"/>
      <w:lang w:val="es-ES" w:eastAsia="es-ES"/>
    </w:rPr>
  </w:style>
  <w:style w:type="paragraph" w:customStyle="1" w:styleId="E09-Proyecto">
    <w:name w:val="E09 - Proyecto"/>
    <w:rsid w:val="00E60172"/>
    <w:pPr>
      <w:tabs>
        <w:tab w:val="left" w:pos="1361"/>
      </w:tabs>
      <w:ind w:left="1361" w:hanging="1361"/>
      <w:jc w:val="both"/>
      <w:outlineLvl w:val="6"/>
    </w:pPr>
    <w:rPr>
      <w:rFonts w:ascii="Arial" w:hAnsi="Arial"/>
      <w:color w:val="000000"/>
      <w:lang w:eastAsia="es-ES"/>
    </w:rPr>
  </w:style>
  <w:style w:type="paragraph" w:customStyle="1" w:styleId="E10-Indicador">
    <w:name w:val="E10 - Indicador"/>
    <w:rsid w:val="00E60172"/>
    <w:pPr>
      <w:tabs>
        <w:tab w:val="left" w:pos="1418"/>
      </w:tabs>
      <w:ind w:left="1418" w:hanging="1418"/>
      <w:jc w:val="both"/>
      <w:outlineLvl w:val="7"/>
    </w:pPr>
    <w:rPr>
      <w:rFonts w:ascii="Arial" w:hAnsi="Arial"/>
      <w:i/>
      <w:color w:val="000000"/>
      <w:lang w:val="es-ES" w:eastAsia="es-ES"/>
    </w:rPr>
  </w:style>
  <w:style w:type="paragraph" w:customStyle="1" w:styleId="AnlisisdelEjercicio">
    <w:name w:val="Análisis del Ejercicio"/>
    <w:rsid w:val="00E60172"/>
    <w:pPr>
      <w:tabs>
        <w:tab w:val="right" w:pos="5954"/>
      </w:tabs>
      <w:ind w:left="57"/>
    </w:pPr>
    <w:rPr>
      <w:rFonts w:ascii="Arial" w:hAnsi="Arial"/>
      <w:caps/>
      <w:sz w:val="16"/>
      <w:lang w:val="es-ES" w:eastAsia="es-ES"/>
    </w:rPr>
  </w:style>
  <w:style w:type="paragraph" w:customStyle="1" w:styleId="Formatos">
    <w:name w:val="Formatos"/>
    <w:rsid w:val="00E60172"/>
    <w:pPr>
      <w:tabs>
        <w:tab w:val="right" w:pos="5954"/>
      </w:tabs>
      <w:ind w:left="284"/>
      <w:jc w:val="both"/>
    </w:pPr>
    <w:rPr>
      <w:rFonts w:ascii="Arial" w:hAnsi="Arial"/>
      <w:sz w:val="16"/>
      <w:lang w:val="es-ES" w:eastAsia="es-ES"/>
    </w:rPr>
  </w:style>
  <w:style w:type="paragraph" w:customStyle="1" w:styleId="Tipodeinformacin">
    <w:name w:val="Tipo de información"/>
    <w:rsid w:val="00E60172"/>
    <w:pPr>
      <w:tabs>
        <w:tab w:val="right" w:pos="5954"/>
      </w:tabs>
      <w:ind w:left="57"/>
      <w:jc w:val="both"/>
    </w:pPr>
    <w:rPr>
      <w:rFonts w:ascii="Arial" w:hAnsi="Arial"/>
      <w:b/>
      <w:caps/>
      <w:sz w:val="16"/>
      <w:lang w:val="es-ES" w:eastAsia="es-ES"/>
    </w:rPr>
  </w:style>
  <w:style w:type="paragraph" w:customStyle="1" w:styleId="Cabeza">
    <w:name w:val="Cabeza"/>
    <w:rsid w:val="00E60172"/>
    <w:rPr>
      <w:rFonts w:ascii="Arial" w:hAnsi="Arial"/>
      <w:color w:val="000000"/>
      <w:lang w:eastAsia="es-ES"/>
    </w:rPr>
  </w:style>
  <w:style w:type="paragraph" w:customStyle="1" w:styleId="Clave">
    <w:name w:val="Clave"/>
    <w:rsid w:val="00E60172"/>
    <w:pPr>
      <w:spacing w:before="40"/>
      <w:jc w:val="right"/>
    </w:pPr>
    <w:rPr>
      <w:rFonts w:ascii="Arial" w:hAnsi="Arial" w:cs="Arial"/>
      <w:b/>
      <w:sz w:val="22"/>
      <w:lang w:val="es-ES" w:eastAsia="es-ES"/>
    </w:rPr>
  </w:style>
  <w:style w:type="paragraph" w:customStyle="1" w:styleId="InterlineadoCerrado">
    <w:name w:val="InterlineadoCerrado"/>
    <w:rsid w:val="00E60172"/>
    <w:pPr>
      <w:spacing w:line="200" w:lineRule="exact"/>
    </w:pPr>
    <w:rPr>
      <w:rFonts w:ascii="Arial" w:hAnsi="Arial"/>
      <w:noProof/>
      <w:lang w:val="es-ES" w:eastAsia="es-ES"/>
    </w:rPr>
  </w:style>
  <w:style w:type="paragraph" w:customStyle="1" w:styleId="Nombre">
    <w:name w:val="Nombre"/>
    <w:rsid w:val="00E60172"/>
    <w:pPr>
      <w:jc w:val="center"/>
    </w:pPr>
    <w:rPr>
      <w:rFonts w:ascii="Arial" w:hAnsi="Arial" w:cs="Arial"/>
      <w:b/>
      <w:bCs/>
      <w:sz w:val="24"/>
      <w:lang w:val="es-ES" w:eastAsia="es-ES"/>
    </w:rPr>
  </w:style>
  <w:style w:type="paragraph" w:customStyle="1" w:styleId="CabezaIndice">
    <w:name w:val="CabezaIndice"/>
    <w:rsid w:val="00E60172"/>
    <w:pPr>
      <w:spacing w:before="120" w:after="120" w:line="200" w:lineRule="exact"/>
      <w:jc w:val="center"/>
    </w:pPr>
    <w:rPr>
      <w:rFonts w:ascii="Arial" w:hAnsi="Arial" w:cs="Arial"/>
      <w:b/>
      <w:bCs/>
      <w:sz w:val="16"/>
      <w:lang w:eastAsia="es-ES"/>
    </w:rPr>
  </w:style>
  <w:style w:type="paragraph" w:customStyle="1" w:styleId="InterlineadoCerrado4">
    <w:name w:val="InterlineadoCerrado(4)"/>
    <w:basedOn w:val="InterlineadoCerrado"/>
    <w:rsid w:val="00E60172"/>
    <w:pPr>
      <w:spacing w:line="60" w:lineRule="exact"/>
    </w:pPr>
  </w:style>
  <w:style w:type="character" w:styleId="Hipervnculo">
    <w:name w:val="Hyperlink"/>
    <w:rsid w:val="00E60172"/>
    <w:rPr>
      <w:color w:val="0000FF"/>
      <w:u w:val="single"/>
    </w:rPr>
  </w:style>
  <w:style w:type="paragraph" w:customStyle="1" w:styleId="Body">
    <w:name w:val="Body"/>
    <w:aliases w:val="Text"/>
    <w:basedOn w:val="Normal"/>
    <w:rsid w:val="00E60172"/>
    <w:pPr>
      <w:jc w:val="both"/>
    </w:pPr>
    <w:rPr>
      <w:rFonts w:ascii="Arial" w:hAnsi="Arial"/>
      <w:sz w:val="20"/>
      <w:szCs w:val="20"/>
      <w:lang w:val="es-ES_tradnl" w:eastAsia="es-ES"/>
    </w:rPr>
  </w:style>
  <w:style w:type="paragraph" w:customStyle="1" w:styleId="BULET">
    <w:name w:val="BULET"/>
    <w:basedOn w:val="Normal"/>
    <w:rsid w:val="00E60172"/>
    <w:pPr>
      <w:numPr>
        <w:numId w:val="3"/>
      </w:numPr>
    </w:pPr>
    <w:rPr>
      <w:lang w:val="es-ES" w:eastAsia="es-ES"/>
    </w:rPr>
  </w:style>
  <w:style w:type="paragraph" w:customStyle="1" w:styleId="N1">
    <w:name w:val="N1"/>
    <w:basedOn w:val="Normal"/>
    <w:rsid w:val="00E60172"/>
    <w:pPr>
      <w:keepNext/>
      <w:spacing w:before="240" w:after="120"/>
    </w:pPr>
    <w:rPr>
      <w:rFonts w:ascii="Arial" w:hAnsi="Arial"/>
      <w:b/>
      <w:sz w:val="20"/>
      <w:szCs w:val="20"/>
      <w:lang w:eastAsia="es-ES"/>
    </w:rPr>
  </w:style>
  <w:style w:type="character" w:styleId="Hipervnculovisitado">
    <w:name w:val="FollowedHyperlink"/>
    <w:rsid w:val="00E60172"/>
    <w:rPr>
      <w:color w:val="800080"/>
      <w:u w:val="single"/>
    </w:rPr>
  </w:style>
  <w:style w:type="paragraph" w:customStyle="1" w:styleId="BALA0">
    <w:name w:val="BALA"/>
    <w:basedOn w:val="Normal"/>
    <w:rsid w:val="00E60172"/>
    <w:pPr>
      <w:numPr>
        <w:numId w:val="4"/>
      </w:numPr>
      <w:spacing w:before="120" w:after="120" w:line="240" w:lineRule="exact"/>
      <w:ind w:left="426" w:hanging="369"/>
      <w:jc w:val="both"/>
    </w:pPr>
    <w:rPr>
      <w:sz w:val="22"/>
      <w:lang w:val="es-ES" w:eastAsia="es-ES"/>
    </w:rPr>
  </w:style>
  <w:style w:type="paragraph" w:customStyle="1" w:styleId="VIETANEGRA">
    <w:name w:val="_VIÑETA NEGRA"/>
    <w:basedOn w:val="Normal"/>
    <w:rsid w:val="00E60172"/>
    <w:pPr>
      <w:numPr>
        <w:numId w:val="5"/>
      </w:numPr>
      <w:spacing w:before="50" w:after="50" w:line="260" w:lineRule="exact"/>
      <w:jc w:val="both"/>
    </w:pPr>
    <w:rPr>
      <w:sz w:val="22"/>
      <w:lang w:val="es-ES" w:eastAsia="es-ES"/>
    </w:rPr>
  </w:style>
  <w:style w:type="paragraph" w:customStyle="1" w:styleId="a0">
    <w:basedOn w:val="Normal"/>
    <w:next w:val="Sangradetextonormal"/>
    <w:rsid w:val="00E60172"/>
    <w:pPr>
      <w:ind w:left="567"/>
      <w:jc w:val="both"/>
    </w:pPr>
    <w:rPr>
      <w:rFonts w:ascii="Arial" w:hAnsi="Arial"/>
      <w:sz w:val="20"/>
      <w:lang w:val="es-ES" w:eastAsia="es-ES"/>
    </w:rPr>
  </w:style>
  <w:style w:type="paragraph" w:styleId="Textodeglobo">
    <w:name w:val="Balloon Text"/>
    <w:basedOn w:val="Normal"/>
    <w:semiHidden/>
    <w:rsid w:val="00E60172"/>
    <w:rPr>
      <w:rFonts w:ascii="Tahoma" w:hAnsi="Tahoma" w:cs="Tahoma"/>
      <w:sz w:val="16"/>
      <w:szCs w:val="16"/>
    </w:rPr>
  </w:style>
  <w:style w:type="table" w:styleId="Tablaconcuadrcula">
    <w:name w:val="Table Grid"/>
    <w:basedOn w:val="Tablanormal"/>
    <w:uiPriority w:val="39"/>
    <w:rsid w:val="00D425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
    <w:name w:val="Car Car"/>
    <w:basedOn w:val="Normal"/>
    <w:next w:val="Normal"/>
    <w:rsid w:val="00E60172"/>
    <w:pPr>
      <w:widowControl w:val="0"/>
      <w:tabs>
        <w:tab w:val="num" w:pos="1440"/>
      </w:tabs>
      <w:adjustRightInd w:val="0"/>
      <w:spacing w:before="80" w:after="80"/>
      <w:jc w:val="both"/>
      <w:textAlignment w:val="baseline"/>
    </w:pPr>
    <w:rPr>
      <w:rFonts w:ascii="Arial" w:hAnsi="Arial" w:cs="Arial"/>
      <w:sz w:val="28"/>
      <w:szCs w:val="28"/>
      <w:lang w:val="es-ES" w:eastAsia="es-ES"/>
    </w:rPr>
  </w:style>
  <w:style w:type="paragraph" w:customStyle="1" w:styleId="Vieta1">
    <w:name w:val="Viñeta 1"/>
    <w:rsid w:val="00E60172"/>
    <w:pPr>
      <w:numPr>
        <w:numId w:val="6"/>
      </w:numPr>
      <w:tabs>
        <w:tab w:val="left" w:pos="284"/>
      </w:tabs>
      <w:spacing w:before="60" w:after="60" w:line="240" w:lineRule="exact"/>
      <w:jc w:val="both"/>
    </w:pPr>
    <w:rPr>
      <w:rFonts w:ascii="EurekaSans-Light" w:hAnsi="EurekaSans-Light"/>
      <w:sz w:val="24"/>
      <w:szCs w:val="24"/>
      <w:lang w:val="en-US" w:eastAsia="es-ES_tradnl"/>
    </w:rPr>
  </w:style>
  <w:style w:type="character" w:customStyle="1" w:styleId="Vieta1Car">
    <w:name w:val="Viñeta 1 Car"/>
    <w:rsid w:val="00E60172"/>
    <w:rPr>
      <w:rFonts w:ascii="EurekaSans-Light" w:hAnsi="EurekaSans-Light"/>
      <w:sz w:val="24"/>
      <w:szCs w:val="24"/>
      <w:lang w:val="en-US" w:eastAsia="es-ES_tradnl" w:bidi="ar-SA"/>
    </w:rPr>
  </w:style>
  <w:style w:type="paragraph" w:styleId="Textonotapie">
    <w:name w:val="footnote text"/>
    <w:basedOn w:val="Normal"/>
    <w:semiHidden/>
    <w:rsid w:val="00E60172"/>
    <w:rPr>
      <w:sz w:val="20"/>
      <w:szCs w:val="20"/>
    </w:rPr>
  </w:style>
  <w:style w:type="character" w:styleId="Refdenotaalpie">
    <w:name w:val="footnote reference"/>
    <w:semiHidden/>
    <w:rsid w:val="00E60172"/>
    <w:rPr>
      <w:vertAlign w:val="superscript"/>
    </w:rPr>
  </w:style>
  <w:style w:type="paragraph" w:styleId="Textonotaalfinal">
    <w:name w:val="endnote text"/>
    <w:basedOn w:val="Normal"/>
    <w:semiHidden/>
    <w:rsid w:val="00E60172"/>
    <w:rPr>
      <w:sz w:val="20"/>
      <w:szCs w:val="20"/>
    </w:rPr>
  </w:style>
  <w:style w:type="character" w:styleId="Refdenotaalfinal">
    <w:name w:val="endnote reference"/>
    <w:semiHidden/>
    <w:rsid w:val="00E60172"/>
    <w:rPr>
      <w:vertAlign w:val="superscript"/>
    </w:rPr>
  </w:style>
  <w:style w:type="character" w:customStyle="1" w:styleId="Ttulo1Car">
    <w:name w:val="Título 1 Car"/>
    <w:link w:val="Ttulo1"/>
    <w:rsid w:val="00B00A01"/>
    <w:rPr>
      <w:rFonts w:ascii="Arial" w:hAnsi="Arial"/>
      <w:b/>
      <w:spacing w:val="-3"/>
      <w:lang w:val="es-MX" w:eastAsia="es-ES" w:bidi="ar-SA"/>
    </w:rPr>
  </w:style>
  <w:style w:type="paragraph" w:customStyle="1" w:styleId="Nmero">
    <w:name w:val="Número"/>
    <w:basedOn w:val="Normal"/>
    <w:rsid w:val="00B00A01"/>
    <w:pPr>
      <w:tabs>
        <w:tab w:val="left" w:pos="425"/>
      </w:tabs>
      <w:ind w:left="425" w:hanging="425"/>
      <w:jc w:val="both"/>
    </w:pPr>
    <w:rPr>
      <w:rFonts w:ascii="Arial" w:hAnsi="Arial"/>
      <w:sz w:val="20"/>
      <w:szCs w:val="20"/>
      <w:lang w:val="es-ES" w:eastAsia="es-ES"/>
    </w:rPr>
  </w:style>
  <w:style w:type="paragraph" w:customStyle="1" w:styleId="LneadelPiedePgina">
    <w:name w:val="Línea del Pie de Página"/>
    <w:basedOn w:val="Ttulo4"/>
    <w:rsid w:val="00B00A01"/>
    <w:pPr>
      <w:pBdr>
        <w:top w:val="threeDEmboss" w:sz="18" w:space="1" w:color="auto"/>
      </w:pBdr>
      <w:spacing w:before="0" w:after="0"/>
      <w:jc w:val="center"/>
    </w:pPr>
    <w:rPr>
      <w:rFonts w:ascii="Arial" w:hAnsi="Arial"/>
      <w:bCs w:val="0"/>
      <w:sz w:val="20"/>
      <w:szCs w:val="20"/>
      <w:lang w:val="es-ES" w:eastAsia="es-ES"/>
    </w:rPr>
  </w:style>
  <w:style w:type="paragraph" w:customStyle="1" w:styleId="LneadelEncabezado">
    <w:name w:val="Línea del Encabezado"/>
    <w:basedOn w:val="Normal"/>
    <w:rsid w:val="00B00A01"/>
    <w:pPr>
      <w:pBdr>
        <w:bottom w:val="threeDEngrave" w:sz="18" w:space="16" w:color="auto"/>
      </w:pBdr>
      <w:jc w:val="right"/>
    </w:pPr>
    <w:rPr>
      <w:rFonts w:ascii="Arial" w:hAnsi="Arial"/>
      <w:b/>
      <w:sz w:val="20"/>
      <w:szCs w:val="20"/>
      <w:lang w:val="es-ES" w:eastAsia="es-ES"/>
    </w:rPr>
  </w:style>
  <w:style w:type="paragraph" w:customStyle="1" w:styleId="Bala">
    <w:name w:val="Bala"/>
    <w:basedOn w:val="Normal"/>
    <w:rsid w:val="00B00A01"/>
    <w:pPr>
      <w:numPr>
        <w:numId w:val="7"/>
      </w:numPr>
      <w:tabs>
        <w:tab w:val="clear" w:pos="397"/>
        <w:tab w:val="num" w:pos="794"/>
      </w:tabs>
      <w:ind w:left="794"/>
      <w:jc w:val="both"/>
    </w:pPr>
    <w:rPr>
      <w:rFonts w:ascii="Arial" w:hAnsi="Arial"/>
      <w:sz w:val="20"/>
      <w:szCs w:val="20"/>
      <w:lang w:eastAsia="es-ES"/>
    </w:rPr>
  </w:style>
  <w:style w:type="paragraph" w:customStyle="1" w:styleId="heading">
    <w:name w:val="heading"/>
    <w:aliases w:val="1"/>
    <w:basedOn w:val="Normal"/>
    <w:next w:val="Normal"/>
    <w:rsid w:val="00B00A01"/>
    <w:pPr>
      <w:keepNext/>
      <w:jc w:val="both"/>
    </w:pPr>
    <w:rPr>
      <w:rFonts w:ascii="Arial" w:hAnsi="Arial"/>
      <w:b/>
      <w:sz w:val="20"/>
      <w:szCs w:val="20"/>
      <w:lang w:val="es-ES_tradnl" w:eastAsia="es-ES"/>
    </w:rPr>
  </w:style>
  <w:style w:type="paragraph" w:customStyle="1" w:styleId="Body3">
    <w:name w:val="Body3"/>
    <w:aliases w:val="Text3,2"/>
    <w:basedOn w:val="Normal"/>
    <w:rsid w:val="00B00A01"/>
    <w:pPr>
      <w:tabs>
        <w:tab w:val="left" w:pos="397"/>
      </w:tabs>
      <w:ind w:left="227" w:hanging="227"/>
      <w:jc w:val="both"/>
    </w:pPr>
    <w:rPr>
      <w:rFonts w:ascii="Arial" w:hAnsi="Arial"/>
      <w:sz w:val="20"/>
      <w:szCs w:val="20"/>
      <w:lang w:val="es-ES_tradnl" w:eastAsia="es-ES"/>
    </w:rPr>
  </w:style>
  <w:style w:type="paragraph" w:customStyle="1" w:styleId="Body2">
    <w:name w:val="Body2"/>
    <w:aliases w:val="Text2,Indent,21"/>
    <w:basedOn w:val="Normal"/>
    <w:rsid w:val="00B00A01"/>
    <w:pPr>
      <w:ind w:left="624" w:hanging="624"/>
      <w:jc w:val="both"/>
    </w:pPr>
    <w:rPr>
      <w:rFonts w:ascii="Arial" w:hAnsi="Arial"/>
      <w:b/>
      <w:sz w:val="20"/>
      <w:szCs w:val="20"/>
      <w:lang w:val="es-ES_tradnl" w:eastAsia="es-ES"/>
    </w:rPr>
  </w:style>
  <w:style w:type="paragraph" w:customStyle="1" w:styleId="Body1">
    <w:name w:val="Body1"/>
    <w:aliases w:val="Text1,Indent1,3"/>
    <w:basedOn w:val="Normal"/>
    <w:rsid w:val="00B00A01"/>
    <w:pPr>
      <w:ind w:left="454" w:hanging="454"/>
      <w:jc w:val="both"/>
    </w:pPr>
    <w:rPr>
      <w:rFonts w:ascii="Arial" w:hAnsi="Arial"/>
      <w:sz w:val="20"/>
      <w:szCs w:val="20"/>
      <w:lang w:val="es-ES_tradnl" w:eastAsia="es-ES"/>
    </w:rPr>
  </w:style>
  <w:style w:type="paragraph" w:customStyle="1" w:styleId="Default">
    <w:name w:val="Default"/>
    <w:rsid w:val="00B00A01"/>
    <w:pPr>
      <w:widowControl w:val="0"/>
      <w:autoSpaceDE w:val="0"/>
      <w:autoSpaceDN w:val="0"/>
      <w:adjustRightInd w:val="0"/>
    </w:pPr>
    <w:rPr>
      <w:rFonts w:ascii="Arial,Bold" w:hAnsi="Arial,Bold"/>
      <w:lang w:val="es-ES" w:eastAsia="es-ES"/>
    </w:rPr>
  </w:style>
  <w:style w:type="character" w:styleId="Refdecomentario">
    <w:name w:val="annotation reference"/>
    <w:semiHidden/>
    <w:rsid w:val="002746C5"/>
    <w:rPr>
      <w:sz w:val="16"/>
      <w:szCs w:val="16"/>
    </w:rPr>
  </w:style>
  <w:style w:type="paragraph" w:styleId="Textocomentario">
    <w:name w:val="annotation text"/>
    <w:basedOn w:val="Normal"/>
    <w:semiHidden/>
    <w:rsid w:val="002746C5"/>
    <w:rPr>
      <w:sz w:val="20"/>
      <w:szCs w:val="20"/>
    </w:rPr>
  </w:style>
  <w:style w:type="paragraph" w:styleId="Asuntodelcomentario">
    <w:name w:val="annotation subject"/>
    <w:basedOn w:val="Textocomentario"/>
    <w:next w:val="Textocomentario"/>
    <w:semiHidden/>
    <w:rsid w:val="002746C5"/>
    <w:rPr>
      <w:b/>
      <w:bCs/>
    </w:rPr>
  </w:style>
  <w:style w:type="paragraph" w:customStyle="1" w:styleId="CarCar0">
    <w:name w:val="Car Car"/>
    <w:basedOn w:val="Normal"/>
    <w:next w:val="Normal"/>
    <w:rsid w:val="00220F3A"/>
    <w:pPr>
      <w:widowControl w:val="0"/>
      <w:tabs>
        <w:tab w:val="num" w:pos="1440"/>
      </w:tabs>
      <w:adjustRightInd w:val="0"/>
      <w:spacing w:before="80" w:after="80"/>
      <w:jc w:val="both"/>
      <w:textAlignment w:val="baseline"/>
    </w:pPr>
    <w:rPr>
      <w:rFonts w:ascii="Arial" w:hAnsi="Arial" w:cs="Arial"/>
      <w:sz w:val="28"/>
      <w:szCs w:val="28"/>
      <w:lang w:val="es-ES" w:eastAsia="es-ES"/>
    </w:rPr>
  </w:style>
  <w:style w:type="paragraph" w:styleId="Prrafodelista">
    <w:name w:val="List Paragraph"/>
    <w:basedOn w:val="Normal"/>
    <w:uiPriority w:val="34"/>
    <w:qFormat/>
    <w:rsid w:val="000B2E80"/>
    <w:pPr>
      <w:ind w:left="720"/>
      <w:contextualSpacing/>
    </w:pPr>
  </w:style>
  <w:style w:type="paragraph" w:customStyle="1" w:styleId="Epgrafe">
    <w:name w:val="Epígrafe"/>
    <w:basedOn w:val="Normal"/>
    <w:next w:val="Normal"/>
    <w:unhideWhenUsed/>
    <w:qFormat/>
    <w:rsid w:val="00874BEE"/>
    <w:pPr>
      <w:spacing w:after="200"/>
    </w:pPr>
    <w:rPr>
      <w:b/>
      <w:bCs/>
      <w:color w:val="4F81BD"/>
      <w:sz w:val="18"/>
      <w:szCs w:val="18"/>
    </w:rPr>
  </w:style>
  <w:style w:type="character" w:customStyle="1" w:styleId="Textoindependiente2Car">
    <w:name w:val="Texto independiente 2 Car"/>
    <w:link w:val="Textoindependiente2"/>
    <w:uiPriority w:val="99"/>
    <w:locked/>
    <w:rsid w:val="00441C6F"/>
    <w:rPr>
      <w:rFonts w:ascii="Arial" w:hAnsi="Arial"/>
      <w:lang w:val="es-ES" w:eastAsia="es-ES"/>
    </w:rPr>
  </w:style>
  <w:style w:type="character" w:customStyle="1" w:styleId="PiedepginaCar">
    <w:name w:val="Pie de página Car"/>
    <w:link w:val="Piedepgina"/>
    <w:uiPriority w:val="99"/>
    <w:rsid w:val="006E5CC5"/>
    <w:rPr>
      <w:sz w:val="24"/>
      <w:szCs w:val="24"/>
    </w:rPr>
  </w:style>
  <w:style w:type="paragraph" w:customStyle="1" w:styleId="m-935168839506812550gmail-msolistparagraph">
    <w:name w:val="m_-935168839506812550gmail-msolistparagraph"/>
    <w:basedOn w:val="Normal"/>
    <w:rsid w:val="00FE41FE"/>
    <w:pPr>
      <w:spacing w:before="100" w:beforeAutospacing="1" w:after="100" w:afterAutospacing="1"/>
    </w:pPr>
  </w:style>
  <w:style w:type="paragraph" w:customStyle="1" w:styleId="p0">
    <w:name w:val="p0"/>
    <w:basedOn w:val="Normal"/>
    <w:rsid w:val="004D2674"/>
    <w:pPr>
      <w:keepLines/>
      <w:spacing w:before="240"/>
      <w:jc w:val="both"/>
    </w:pPr>
    <w:rPr>
      <w:rFonts w:ascii="Arial" w:hAnsi="Arial"/>
      <w:szCs w:val="20"/>
      <w:lang w:val="es-ES_tradnl" w:eastAsia="es-ES"/>
    </w:rPr>
  </w:style>
  <w:style w:type="paragraph" w:customStyle="1" w:styleId="p02">
    <w:name w:val="p02"/>
    <w:basedOn w:val="Normal"/>
    <w:next w:val="p0"/>
    <w:rsid w:val="004D2674"/>
    <w:pPr>
      <w:keepLines/>
      <w:spacing w:before="240"/>
      <w:ind w:right="11"/>
      <w:jc w:val="both"/>
    </w:pPr>
    <w:rPr>
      <w:rFonts w:ascii="Univers" w:hAnsi="Univers"/>
      <w:color w:val="0000FF"/>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803">
      <w:bodyDiv w:val="1"/>
      <w:marLeft w:val="0"/>
      <w:marRight w:val="0"/>
      <w:marTop w:val="0"/>
      <w:marBottom w:val="0"/>
      <w:divBdr>
        <w:top w:val="none" w:sz="0" w:space="0" w:color="auto"/>
        <w:left w:val="none" w:sz="0" w:space="0" w:color="auto"/>
        <w:bottom w:val="none" w:sz="0" w:space="0" w:color="auto"/>
        <w:right w:val="none" w:sz="0" w:space="0" w:color="auto"/>
      </w:divBdr>
    </w:div>
    <w:div w:id="86777424">
      <w:bodyDiv w:val="1"/>
      <w:marLeft w:val="0"/>
      <w:marRight w:val="0"/>
      <w:marTop w:val="0"/>
      <w:marBottom w:val="0"/>
      <w:divBdr>
        <w:top w:val="none" w:sz="0" w:space="0" w:color="auto"/>
        <w:left w:val="none" w:sz="0" w:space="0" w:color="auto"/>
        <w:bottom w:val="none" w:sz="0" w:space="0" w:color="auto"/>
        <w:right w:val="none" w:sz="0" w:space="0" w:color="auto"/>
      </w:divBdr>
    </w:div>
    <w:div w:id="156848858">
      <w:bodyDiv w:val="1"/>
      <w:marLeft w:val="0"/>
      <w:marRight w:val="0"/>
      <w:marTop w:val="0"/>
      <w:marBottom w:val="0"/>
      <w:divBdr>
        <w:top w:val="none" w:sz="0" w:space="0" w:color="auto"/>
        <w:left w:val="none" w:sz="0" w:space="0" w:color="auto"/>
        <w:bottom w:val="none" w:sz="0" w:space="0" w:color="auto"/>
        <w:right w:val="none" w:sz="0" w:space="0" w:color="auto"/>
      </w:divBdr>
    </w:div>
    <w:div w:id="159586711">
      <w:bodyDiv w:val="1"/>
      <w:marLeft w:val="0"/>
      <w:marRight w:val="0"/>
      <w:marTop w:val="0"/>
      <w:marBottom w:val="0"/>
      <w:divBdr>
        <w:top w:val="none" w:sz="0" w:space="0" w:color="auto"/>
        <w:left w:val="none" w:sz="0" w:space="0" w:color="auto"/>
        <w:bottom w:val="none" w:sz="0" w:space="0" w:color="auto"/>
        <w:right w:val="none" w:sz="0" w:space="0" w:color="auto"/>
      </w:divBdr>
    </w:div>
    <w:div w:id="166673393">
      <w:bodyDiv w:val="1"/>
      <w:marLeft w:val="0"/>
      <w:marRight w:val="0"/>
      <w:marTop w:val="0"/>
      <w:marBottom w:val="0"/>
      <w:divBdr>
        <w:top w:val="none" w:sz="0" w:space="0" w:color="auto"/>
        <w:left w:val="none" w:sz="0" w:space="0" w:color="auto"/>
        <w:bottom w:val="none" w:sz="0" w:space="0" w:color="auto"/>
        <w:right w:val="none" w:sz="0" w:space="0" w:color="auto"/>
      </w:divBdr>
    </w:div>
    <w:div w:id="190730546">
      <w:bodyDiv w:val="1"/>
      <w:marLeft w:val="0"/>
      <w:marRight w:val="0"/>
      <w:marTop w:val="0"/>
      <w:marBottom w:val="0"/>
      <w:divBdr>
        <w:top w:val="none" w:sz="0" w:space="0" w:color="auto"/>
        <w:left w:val="none" w:sz="0" w:space="0" w:color="auto"/>
        <w:bottom w:val="none" w:sz="0" w:space="0" w:color="auto"/>
        <w:right w:val="none" w:sz="0" w:space="0" w:color="auto"/>
      </w:divBdr>
    </w:div>
    <w:div w:id="245654344">
      <w:bodyDiv w:val="1"/>
      <w:marLeft w:val="0"/>
      <w:marRight w:val="0"/>
      <w:marTop w:val="0"/>
      <w:marBottom w:val="0"/>
      <w:divBdr>
        <w:top w:val="none" w:sz="0" w:space="0" w:color="auto"/>
        <w:left w:val="none" w:sz="0" w:space="0" w:color="auto"/>
        <w:bottom w:val="none" w:sz="0" w:space="0" w:color="auto"/>
        <w:right w:val="none" w:sz="0" w:space="0" w:color="auto"/>
      </w:divBdr>
    </w:div>
    <w:div w:id="258878665">
      <w:bodyDiv w:val="1"/>
      <w:marLeft w:val="0"/>
      <w:marRight w:val="0"/>
      <w:marTop w:val="0"/>
      <w:marBottom w:val="0"/>
      <w:divBdr>
        <w:top w:val="none" w:sz="0" w:space="0" w:color="auto"/>
        <w:left w:val="none" w:sz="0" w:space="0" w:color="auto"/>
        <w:bottom w:val="none" w:sz="0" w:space="0" w:color="auto"/>
        <w:right w:val="none" w:sz="0" w:space="0" w:color="auto"/>
      </w:divBdr>
    </w:div>
    <w:div w:id="317807163">
      <w:bodyDiv w:val="1"/>
      <w:marLeft w:val="0"/>
      <w:marRight w:val="0"/>
      <w:marTop w:val="0"/>
      <w:marBottom w:val="0"/>
      <w:divBdr>
        <w:top w:val="none" w:sz="0" w:space="0" w:color="auto"/>
        <w:left w:val="none" w:sz="0" w:space="0" w:color="auto"/>
        <w:bottom w:val="none" w:sz="0" w:space="0" w:color="auto"/>
        <w:right w:val="none" w:sz="0" w:space="0" w:color="auto"/>
      </w:divBdr>
    </w:div>
    <w:div w:id="416949431">
      <w:bodyDiv w:val="1"/>
      <w:marLeft w:val="0"/>
      <w:marRight w:val="0"/>
      <w:marTop w:val="0"/>
      <w:marBottom w:val="0"/>
      <w:divBdr>
        <w:top w:val="none" w:sz="0" w:space="0" w:color="auto"/>
        <w:left w:val="none" w:sz="0" w:space="0" w:color="auto"/>
        <w:bottom w:val="none" w:sz="0" w:space="0" w:color="auto"/>
        <w:right w:val="none" w:sz="0" w:space="0" w:color="auto"/>
      </w:divBdr>
    </w:div>
    <w:div w:id="421921189">
      <w:bodyDiv w:val="1"/>
      <w:marLeft w:val="0"/>
      <w:marRight w:val="0"/>
      <w:marTop w:val="0"/>
      <w:marBottom w:val="0"/>
      <w:divBdr>
        <w:top w:val="none" w:sz="0" w:space="0" w:color="auto"/>
        <w:left w:val="none" w:sz="0" w:space="0" w:color="auto"/>
        <w:bottom w:val="none" w:sz="0" w:space="0" w:color="auto"/>
        <w:right w:val="none" w:sz="0" w:space="0" w:color="auto"/>
      </w:divBdr>
    </w:div>
    <w:div w:id="423385812">
      <w:bodyDiv w:val="1"/>
      <w:marLeft w:val="0"/>
      <w:marRight w:val="0"/>
      <w:marTop w:val="0"/>
      <w:marBottom w:val="0"/>
      <w:divBdr>
        <w:top w:val="none" w:sz="0" w:space="0" w:color="auto"/>
        <w:left w:val="none" w:sz="0" w:space="0" w:color="auto"/>
        <w:bottom w:val="none" w:sz="0" w:space="0" w:color="auto"/>
        <w:right w:val="none" w:sz="0" w:space="0" w:color="auto"/>
      </w:divBdr>
    </w:div>
    <w:div w:id="452984989">
      <w:bodyDiv w:val="1"/>
      <w:marLeft w:val="0"/>
      <w:marRight w:val="0"/>
      <w:marTop w:val="0"/>
      <w:marBottom w:val="0"/>
      <w:divBdr>
        <w:top w:val="none" w:sz="0" w:space="0" w:color="auto"/>
        <w:left w:val="none" w:sz="0" w:space="0" w:color="auto"/>
        <w:bottom w:val="none" w:sz="0" w:space="0" w:color="auto"/>
        <w:right w:val="none" w:sz="0" w:space="0" w:color="auto"/>
      </w:divBdr>
    </w:div>
    <w:div w:id="457264030">
      <w:bodyDiv w:val="1"/>
      <w:marLeft w:val="0"/>
      <w:marRight w:val="0"/>
      <w:marTop w:val="0"/>
      <w:marBottom w:val="0"/>
      <w:divBdr>
        <w:top w:val="none" w:sz="0" w:space="0" w:color="auto"/>
        <w:left w:val="none" w:sz="0" w:space="0" w:color="auto"/>
        <w:bottom w:val="none" w:sz="0" w:space="0" w:color="auto"/>
        <w:right w:val="none" w:sz="0" w:space="0" w:color="auto"/>
      </w:divBdr>
    </w:div>
    <w:div w:id="489374077">
      <w:bodyDiv w:val="1"/>
      <w:marLeft w:val="0"/>
      <w:marRight w:val="0"/>
      <w:marTop w:val="0"/>
      <w:marBottom w:val="0"/>
      <w:divBdr>
        <w:top w:val="none" w:sz="0" w:space="0" w:color="auto"/>
        <w:left w:val="none" w:sz="0" w:space="0" w:color="auto"/>
        <w:bottom w:val="none" w:sz="0" w:space="0" w:color="auto"/>
        <w:right w:val="none" w:sz="0" w:space="0" w:color="auto"/>
      </w:divBdr>
    </w:div>
    <w:div w:id="538784474">
      <w:bodyDiv w:val="1"/>
      <w:marLeft w:val="0"/>
      <w:marRight w:val="0"/>
      <w:marTop w:val="0"/>
      <w:marBottom w:val="0"/>
      <w:divBdr>
        <w:top w:val="none" w:sz="0" w:space="0" w:color="auto"/>
        <w:left w:val="none" w:sz="0" w:space="0" w:color="auto"/>
        <w:bottom w:val="none" w:sz="0" w:space="0" w:color="auto"/>
        <w:right w:val="none" w:sz="0" w:space="0" w:color="auto"/>
      </w:divBdr>
    </w:div>
    <w:div w:id="551115935">
      <w:bodyDiv w:val="1"/>
      <w:marLeft w:val="0"/>
      <w:marRight w:val="0"/>
      <w:marTop w:val="0"/>
      <w:marBottom w:val="0"/>
      <w:divBdr>
        <w:top w:val="none" w:sz="0" w:space="0" w:color="auto"/>
        <w:left w:val="none" w:sz="0" w:space="0" w:color="auto"/>
        <w:bottom w:val="none" w:sz="0" w:space="0" w:color="auto"/>
        <w:right w:val="none" w:sz="0" w:space="0" w:color="auto"/>
      </w:divBdr>
    </w:div>
    <w:div w:id="552959793">
      <w:bodyDiv w:val="1"/>
      <w:marLeft w:val="0"/>
      <w:marRight w:val="0"/>
      <w:marTop w:val="0"/>
      <w:marBottom w:val="0"/>
      <w:divBdr>
        <w:top w:val="none" w:sz="0" w:space="0" w:color="auto"/>
        <w:left w:val="none" w:sz="0" w:space="0" w:color="auto"/>
        <w:bottom w:val="none" w:sz="0" w:space="0" w:color="auto"/>
        <w:right w:val="none" w:sz="0" w:space="0" w:color="auto"/>
      </w:divBdr>
    </w:div>
    <w:div w:id="569928808">
      <w:bodyDiv w:val="1"/>
      <w:marLeft w:val="0"/>
      <w:marRight w:val="0"/>
      <w:marTop w:val="0"/>
      <w:marBottom w:val="0"/>
      <w:divBdr>
        <w:top w:val="none" w:sz="0" w:space="0" w:color="auto"/>
        <w:left w:val="none" w:sz="0" w:space="0" w:color="auto"/>
        <w:bottom w:val="none" w:sz="0" w:space="0" w:color="auto"/>
        <w:right w:val="none" w:sz="0" w:space="0" w:color="auto"/>
      </w:divBdr>
    </w:div>
    <w:div w:id="637222828">
      <w:bodyDiv w:val="1"/>
      <w:marLeft w:val="0"/>
      <w:marRight w:val="0"/>
      <w:marTop w:val="0"/>
      <w:marBottom w:val="0"/>
      <w:divBdr>
        <w:top w:val="none" w:sz="0" w:space="0" w:color="auto"/>
        <w:left w:val="none" w:sz="0" w:space="0" w:color="auto"/>
        <w:bottom w:val="none" w:sz="0" w:space="0" w:color="auto"/>
        <w:right w:val="none" w:sz="0" w:space="0" w:color="auto"/>
      </w:divBdr>
    </w:div>
    <w:div w:id="662047066">
      <w:bodyDiv w:val="1"/>
      <w:marLeft w:val="0"/>
      <w:marRight w:val="0"/>
      <w:marTop w:val="0"/>
      <w:marBottom w:val="0"/>
      <w:divBdr>
        <w:top w:val="none" w:sz="0" w:space="0" w:color="auto"/>
        <w:left w:val="none" w:sz="0" w:space="0" w:color="auto"/>
        <w:bottom w:val="none" w:sz="0" w:space="0" w:color="auto"/>
        <w:right w:val="none" w:sz="0" w:space="0" w:color="auto"/>
      </w:divBdr>
    </w:div>
    <w:div w:id="682436764">
      <w:bodyDiv w:val="1"/>
      <w:marLeft w:val="0"/>
      <w:marRight w:val="0"/>
      <w:marTop w:val="0"/>
      <w:marBottom w:val="0"/>
      <w:divBdr>
        <w:top w:val="none" w:sz="0" w:space="0" w:color="auto"/>
        <w:left w:val="none" w:sz="0" w:space="0" w:color="auto"/>
        <w:bottom w:val="none" w:sz="0" w:space="0" w:color="auto"/>
        <w:right w:val="none" w:sz="0" w:space="0" w:color="auto"/>
      </w:divBdr>
    </w:div>
    <w:div w:id="701130562">
      <w:bodyDiv w:val="1"/>
      <w:marLeft w:val="0"/>
      <w:marRight w:val="0"/>
      <w:marTop w:val="0"/>
      <w:marBottom w:val="0"/>
      <w:divBdr>
        <w:top w:val="none" w:sz="0" w:space="0" w:color="auto"/>
        <w:left w:val="none" w:sz="0" w:space="0" w:color="auto"/>
        <w:bottom w:val="none" w:sz="0" w:space="0" w:color="auto"/>
        <w:right w:val="none" w:sz="0" w:space="0" w:color="auto"/>
      </w:divBdr>
    </w:div>
    <w:div w:id="702050349">
      <w:bodyDiv w:val="1"/>
      <w:marLeft w:val="0"/>
      <w:marRight w:val="0"/>
      <w:marTop w:val="0"/>
      <w:marBottom w:val="0"/>
      <w:divBdr>
        <w:top w:val="none" w:sz="0" w:space="0" w:color="auto"/>
        <w:left w:val="none" w:sz="0" w:space="0" w:color="auto"/>
        <w:bottom w:val="none" w:sz="0" w:space="0" w:color="auto"/>
        <w:right w:val="none" w:sz="0" w:space="0" w:color="auto"/>
      </w:divBdr>
    </w:div>
    <w:div w:id="793790917">
      <w:bodyDiv w:val="1"/>
      <w:marLeft w:val="0"/>
      <w:marRight w:val="0"/>
      <w:marTop w:val="0"/>
      <w:marBottom w:val="0"/>
      <w:divBdr>
        <w:top w:val="none" w:sz="0" w:space="0" w:color="auto"/>
        <w:left w:val="none" w:sz="0" w:space="0" w:color="auto"/>
        <w:bottom w:val="none" w:sz="0" w:space="0" w:color="auto"/>
        <w:right w:val="none" w:sz="0" w:space="0" w:color="auto"/>
      </w:divBdr>
    </w:div>
    <w:div w:id="862551095">
      <w:bodyDiv w:val="1"/>
      <w:marLeft w:val="0"/>
      <w:marRight w:val="0"/>
      <w:marTop w:val="0"/>
      <w:marBottom w:val="0"/>
      <w:divBdr>
        <w:top w:val="none" w:sz="0" w:space="0" w:color="auto"/>
        <w:left w:val="none" w:sz="0" w:space="0" w:color="auto"/>
        <w:bottom w:val="none" w:sz="0" w:space="0" w:color="auto"/>
        <w:right w:val="none" w:sz="0" w:space="0" w:color="auto"/>
      </w:divBdr>
    </w:div>
    <w:div w:id="894002282">
      <w:bodyDiv w:val="1"/>
      <w:marLeft w:val="0"/>
      <w:marRight w:val="0"/>
      <w:marTop w:val="0"/>
      <w:marBottom w:val="0"/>
      <w:divBdr>
        <w:top w:val="none" w:sz="0" w:space="0" w:color="auto"/>
        <w:left w:val="none" w:sz="0" w:space="0" w:color="auto"/>
        <w:bottom w:val="none" w:sz="0" w:space="0" w:color="auto"/>
        <w:right w:val="none" w:sz="0" w:space="0" w:color="auto"/>
      </w:divBdr>
    </w:div>
    <w:div w:id="964694608">
      <w:bodyDiv w:val="1"/>
      <w:marLeft w:val="0"/>
      <w:marRight w:val="0"/>
      <w:marTop w:val="0"/>
      <w:marBottom w:val="0"/>
      <w:divBdr>
        <w:top w:val="none" w:sz="0" w:space="0" w:color="auto"/>
        <w:left w:val="none" w:sz="0" w:space="0" w:color="auto"/>
        <w:bottom w:val="none" w:sz="0" w:space="0" w:color="auto"/>
        <w:right w:val="none" w:sz="0" w:space="0" w:color="auto"/>
      </w:divBdr>
    </w:div>
    <w:div w:id="979917815">
      <w:bodyDiv w:val="1"/>
      <w:marLeft w:val="0"/>
      <w:marRight w:val="0"/>
      <w:marTop w:val="0"/>
      <w:marBottom w:val="0"/>
      <w:divBdr>
        <w:top w:val="none" w:sz="0" w:space="0" w:color="auto"/>
        <w:left w:val="none" w:sz="0" w:space="0" w:color="auto"/>
        <w:bottom w:val="none" w:sz="0" w:space="0" w:color="auto"/>
        <w:right w:val="none" w:sz="0" w:space="0" w:color="auto"/>
      </w:divBdr>
    </w:div>
    <w:div w:id="1021971844">
      <w:bodyDiv w:val="1"/>
      <w:marLeft w:val="0"/>
      <w:marRight w:val="0"/>
      <w:marTop w:val="0"/>
      <w:marBottom w:val="0"/>
      <w:divBdr>
        <w:top w:val="none" w:sz="0" w:space="0" w:color="auto"/>
        <w:left w:val="none" w:sz="0" w:space="0" w:color="auto"/>
        <w:bottom w:val="none" w:sz="0" w:space="0" w:color="auto"/>
        <w:right w:val="none" w:sz="0" w:space="0" w:color="auto"/>
      </w:divBdr>
    </w:div>
    <w:div w:id="1027953369">
      <w:bodyDiv w:val="1"/>
      <w:marLeft w:val="0"/>
      <w:marRight w:val="0"/>
      <w:marTop w:val="0"/>
      <w:marBottom w:val="0"/>
      <w:divBdr>
        <w:top w:val="none" w:sz="0" w:space="0" w:color="auto"/>
        <w:left w:val="none" w:sz="0" w:space="0" w:color="auto"/>
        <w:bottom w:val="none" w:sz="0" w:space="0" w:color="auto"/>
        <w:right w:val="none" w:sz="0" w:space="0" w:color="auto"/>
      </w:divBdr>
    </w:div>
    <w:div w:id="1033699844">
      <w:bodyDiv w:val="1"/>
      <w:marLeft w:val="0"/>
      <w:marRight w:val="0"/>
      <w:marTop w:val="0"/>
      <w:marBottom w:val="0"/>
      <w:divBdr>
        <w:top w:val="none" w:sz="0" w:space="0" w:color="auto"/>
        <w:left w:val="none" w:sz="0" w:space="0" w:color="auto"/>
        <w:bottom w:val="none" w:sz="0" w:space="0" w:color="auto"/>
        <w:right w:val="none" w:sz="0" w:space="0" w:color="auto"/>
      </w:divBdr>
    </w:div>
    <w:div w:id="1069308309">
      <w:bodyDiv w:val="1"/>
      <w:marLeft w:val="0"/>
      <w:marRight w:val="0"/>
      <w:marTop w:val="0"/>
      <w:marBottom w:val="0"/>
      <w:divBdr>
        <w:top w:val="none" w:sz="0" w:space="0" w:color="auto"/>
        <w:left w:val="none" w:sz="0" w:space="0" w:color="auto"/>
        <w:bottom w:val="none" w:sz="0" w:space="0" w:color="auto"/>
        <w:right w:val="none" w:sz="0" w:space="0" w:color="auto"/>
      </w:divBdr>
    </w:div>
    <w:div w:id="1075860260">
      <w:bodyDiv w:val="1"/>
      <w:marLeft w:val="0"/>
      <w:marRight w:val="0"/>
      <w:marTop w:val="0"/>
      <w:marBottom w:val="0"/>
      <w:divBdr>
        <w:top w:val="none" w:sz="0" w:space="0" w:color="auto"/>
        <w:left w:val="none" w:sz="0" w:space="0" w:color="auto"/>
        <w:bottom w:val="none" w:sz="0" w:space="0" w:color="auto"/>
        <w:right w:val="none" w:sz="0" w:space="0" w:color="auto"/>
      </w:divBdr>
    </w:div>
    <w:div w:id="1105466347">
      <w:bodyDiv w:val="1"/>
      <w:marLeft w:val="0"/>
      <w:marRight w:val="0"/>
      <w:marTop w:val="0"/>
      <w:marBottom w:val="0"/>
      <w:divBdr>
        <w:top w:val="none" w:sz="0" w:space="0" w:color="auto"/>
        <w:left w:val="none" w:sz="0" w:space="0" w:color="auto"/>
        <w:bottom w:val="none" w:sz="0" w:space="0" w:color="auto"/>
        <w:right w:val="none" w:sz="0" w:space="0" w:color="auto"/>
      </w:divBdr>
    </w:div>
    <w:div w:id="1110591706">
      <w:bodyDiv w:val="1"/>
      <w:marLeft w:val="0"/>
      <w:marRight w:val="0"/>
      <w:marTop w:val="0"/>
      <w:marBottom w:val="0"/>
      <w:divBdr>
        <w:top w:val="none" w:sz="0" w:space="0" w:color="auto"/>
        <w:left w:val="none" w:sz="0" w:space="0" w:color="auto"/>
        <w:bottom w:val="none" w:sz="0" w:space="0" w:color="auto"/>
        <w:right w:val="none" w:sz="0" w:space="0" w:color="auto"/>
      </w:divBdr>
    </w:div>
    <w:div w:id="1118525685">
      <w:bodyDiv w:val="1"/>
      <w:marLeft w:val="0"/>
      <w:marRight w:val="0"/>
      <w:marTop w:val="0"/>
      <w:marBottom w:val="0"/>
      <w:divBdr>
        <w:top w:val="none" w:sz="0" w:space="0" w:color="auto"/>
        <w:left w:val="none" w:sz="0" w:space="0" w:color="auto"/>
        <w:bottom w:val="none" w:sz="0" w:space="0" w:color="auto"/>
        <w:right w:val="none" w:sz="0" w:space="0" w:color="auto"/>
      </w:divBdr>
    </w:div>
    <w:div w:id="1120883344">
      <w:bodyDiv w:val="1"/>
      <w:marLeft w:val="0"/>
      <w:marRight w:val="0"/>
      <w:marTop w:val="0"/>
      <w:marBottom w:val="0"/>
      <w:divBdr>
        <w:top w:val="none" w:sz="0" w:space="0" w:color="auto"/>
        <w:left w:val="none" w:sz="0" w:space="0" w:color="auto"/>
        <w:bottom w:val="none" w:sz="0" w:space="0" w:color="auto"/>
        <w:right w:val="none" w:sz="0" w:space="0" w:color="auto"/>
      </w:divBdr>
    </w:div>
    <w:div w:id="1145851079">
      <w:bodyDiv w:val="1"/>
      <w:marLeft w:val="0"/>
      <w:marRight w:val="0"/>
      <w:marTop w:val="0"/>
      <w:marBottom w:val="0"/>
      <w:divBdr>
        <w:top w:val="none" w:sz="0" w:space="0" w:color="auto"/>
        <w:left w:val="none" w:sz="0" w:space="0" w:color="auto"/>
        <w:bottom w:val="none" w:sz="0" w:space="0" w:color="auto"/>
        <w:right w:val="none" w:sz="0" w:space="0" w:color="auto"/>
      </w:divBdr>
    </w:div>
    <w:div w:id="1155417089">
      <w:bodyDiv w:val="1"/>
      <w:marLeft w:val="0"/>
      <w:marRight w:val="0"/>
      <w:marTop w:val="0"/>
      <w:marBottom w:val="0"/>
      <w:divBdr>
        <w:top w:val="none" w:sz="0" w:space="0" w:color="auto"/>
        <w:left w:val="none" w:sz="0" w:space="0" w:color="auto"/>
        <w:bottom w:val="none" w:sz="0" w:space="0" w:color="auto"/>
        <w:right w:val="none" w:sz="0" w:space="0" w:color="auto"/>
      </w:divBdr>
    </w:div>
    <w:div w:id="1234659188">
      <w:bodyDiv w:val="1"/>
      <w:marLeft w:val="0"/>
      <w:marRight w:val="0"/>
      <w:marTop w:val="0"/>
      <w:marBottom w:val="0"/>
      <w:divBdr>
        <w:top w:val="none" w:sz="0" w:space="0" w:color="auto"/>
        <w:left w:val="none" w:sz="0" w:space="0" w:color="auto"/>
        <w:bottom w:val="none" w:sz="0" w:space="0" w:color="auto"/>
        <w:right w:val="none" w:sz="0" w:space="0" w:color="auto"/>
      </w:divBdr>
    </w:div>
    <w:div w:id="1283658050">
      <w:bodyDiv w:val="1"/>
      <w:marLeft w:val="0"/>
      <w:marRight w:val="0"/>
      <w:marTop w:val="0"/>
      <w:marBottom w:val="0"/>
      <w:divBdr>
        <w:top w:val="none" w:sz="0" w:space="0" w:color="auto"/>
        <w:left w:val="none" w:sz="0" w:space="0" w:color="auto"/>
        <w:bottom w:val="none" w:sz="0" w:space="0" w:color="auto"/>
        <w:right w:val="none" w:sz="0" w:space="0" w:color="auto"/>
      </w:divBdr>
    </w:div>
    <w:div w:id="1310284939">
      <w:bodyDiv w:val="1"/>
      <w:marLeft w:val="0"/>
      <w:marRight w:val="0"/>
      <w:marTop w:val="0"/>
      <w:marBottom w:val="0"/>
      <w:divBdr>
        <w:top w:val="none" w:sz="0" w:space="0" w:color="auto"/>
        <w:left w:val="none" w:sz="0" w:space="0" w:color="auto"/>
        <w:bottom w:val="none" w:sz="0" w:space="0" w:color="auto"/>
        <w:right w:val="none" w:sz="0" w:space="0" w:color="auto"/>
      </w:divBdr>
    </w:div>
    <w:div w:id="1319113543">
      <w:bodyDiv w:val="1"/>
      <w:marLeft w:val="0"/>
      <w:marRight w:val="0"/>
      <w:marTop w:val="0"/>
      <w:marBottom w:val="0"/>
      <w:divBdr>
        <w:top w:val="none" w:sz="0" w:space="0" w:color="auto"/>
        <w:left w:val="none" w:sz="0" w:space="0" w:color="auto"/>
        <w:bottom w:val="none" w:sz="0" w:space="0" w:color="auto"/>
        <w:right w:val="none" w:sz="0" w:space="0" w:color="auto"/>
      </w:divBdr>
    </w:div>
    <w:div w:id="1327703392">
      <w:bodyDiv w:val="1"/>
      <w:marLeft w:val="0"/>
      <w:marRight w:val="0"/>
      <w:marTop w:val="0"/>
      <w:marBottom w:val="0"/>
      <w:divBdr>
        <w:top w:val="none" w:sz="0" w:space="0" w:color="auto"/>
        <w:left w:val="none" w:sz="0" w:space="0" w:color="auto"/>
        <w:bottom w:val="none" w:sz="0" w:space="0" w:color="auto"/>
        <w:right w:val="none" w:sz="0" w:space="0" w:color="auto"/>
      </w:divBdr>
    </w:div>
    <w:div w:id="1332635936">
      <w:bodyDiv w:val="1"/>
      <w:marLeft w:val="0"/>
      <w:marRight w:val="0"/>
      <w:marTop w:val="0"/>
      <w:marBottom w:val="0"/>
      <w:divBdr>
        <w:top w:val="none" w:sz="0" w:space="0" w:color="auto"/>
        <w:left w:val="none" w:sz="0" w:space="0" w:color="auto"/>
        <w:bottom w:val="none" w:sz="0" w:space="0" w:color="auto"/>
        <w:right w:val="none" w:sz="0" w:space="0" w:color="auto"/>
      </w:divBdr>
    </w:div>
    <w:div w:id="1333558979">
      <w:bodyDiv w:val="1"/>
      <w:marLeft w:val="0"/>
      <w:marRight w:val="0"/>
      <w:marTop w:val="0"/>
      <w:marBottom w:val="0"/>
      <w:divBdr>
        <w:top w:val="none" w:sz="0" w:space="0" w:color="auto"/>
        <w:left w:val="none" w:sz="0" w:space="0" w:color="auto"/>
        <w:bottom w:val="none" w:sz="0" w:space="0" w:color="auto"/>
        <w:right w:val="none" w:sz="0" w:space="0" w:color="auto"/>
      </w:divBdr>
    </w:div>
    <w:div w:id="1350251786">
      <w:bodyDiv w:val="1"/>
      <w:marLeft w:val="0"/>
      <w:marRight w:val="0"/>
      <w:marTop w:val="0"/>
      <w:marBottom w:val="0"/>
      <w:divBdr>
        <w:top w:val="none" w:sz="0" w:space="0" w:color="auto"/>
        <w:left w:val="none" w:sz="0" w:space="0" w:color="auto"/>
        <w:bottom w:val="none" w:sz="0" w:space="0" w:color="auto"/>
        <w:right w:val="none" w:sz="0" w:space="0" w:color="auto"/>
      </w:divBdr>
    </w:div>
    <w:div w:id="1370957864">
      <w:bodyDiv w:val="1"/>
      <w:marLeft w:val="0"/>
      <w:marRight w:val="0"/>
      <w:marTop w:val="0"/>
      <w:marBottom w:val="0"/>
      <w:divBdr>
        <w:top w:val="none" w:sz="0" w:space="0" w:color="auto"/>
        <w:left w:val="none" w:sz="0" w:space="0" w:color="auto"/>
        <w:bottom w:val="none" w:sz="0" w:space="0" w:color="auto"/>
        <w:right w:val="none" w:sz="0" w:space="0" w:color="auto"/>
      </w:divBdr>
    </w:div>
    <w:div w:id="1400635774">
      <w:bodyDiv w:val="1"/>
      <w:marLeft w:val="0"/>
      <w:marRight w:val="0"/>
      <w:marTop w:val="0"/>
      <w:marBottom w:val="0"/>
      <w:divBdr>
        <w:top w:val="none" w:sz="0" w:space="0" w:color="auto"/>
        <w:left w:val="none" w:sz="0" w:space="0" w:color="auto"/>
        <w:bottom w:val="none" w:sz="0" w:space="0" w:color="auto"/>
        <w:right w:val="none" w:sz="0" w:space="0" w:color="auto"/>
      </w:divBdr>
    </w:div>
    <w:div w:id="1434133124">
      <w:bodyDiv w:val="1"/>
      <w:marLeft w:val="0"/>
      <w:marRight w:val="0"/>
      <w:marTop w:val="0"/>
      <w:marBottom w:val="0"/>
      <w:divBdr>
        <w:top w:val="none" w:sz="0" w:space="0" w:color="auto"/>
        <w:left w:val="none" w:sz="0" w:space="0" w:color="auto"/>
        <w:bottom w:val="none" w:sz="0" w:space="0" w:color="auto"/>
        <w:right w:val="none" w:sz="0" w:space="0" w:color="auto"/>
      </w:divBdr>
    </w:div>
    <w:div w:id="1508403899">
      <w:bodyDiv w:val="1"/>
      <w:marLeft w:val="0"/>
      <w:marRight w:val="0"/>
      <w:marTop w:val="0"/>
      <w:marBottom w:val="0"/>
      <w:divBdr>
        <w:top w:val="none" w:sz="0" w:space="0" w:color="auto"/>
        <w:left w:val="none" w:sz="0" w:space="0" w:color="auto"/>
        <w:bottom w:val="none" w:sz="0" w:space="0" w:color="auto"/>
        <w:right w:val="none" w:sz="0" w:space="0" w:color="auto"/>
      </w:divBdr>
    </w:div>
    <w:div w:id="1516192203">
      <w:bodyDiv w:val="1"/>
      <w:marLeft w:val="0"/>
      <w:marRight w:val="0"/>
      <w:marTop w:val="0"/>
      <w:marBottom w:val="0"/>
      <w:divBdr>
        <w:top w:val="none" w:sz="0" w:space="0" w:color="auto"/>
        <w:left w:val="none" w:sz="0" w:space="0" w:color="auto"/>
        <w:bottom w:val="none" w:sz="0" w:space="0" w:color="auto"/>
        <w:right w:val="none" w:sz="0" w:space="0" w:color="auto"/>
      </w:divBdr>
    </w:div>
    <w:div w:id="1546871244">
      <w:bodyDiv w:val="1"/>
      <w:marLeft w:val="0"/>
      <w:marRight w:val="0"/>
      <w:marTop w:val="0"/>
      <w:marBottom w:val="0"/>
      <w:divBdr>
        <w:top w:val="none" w:sz="0" w:space="0" w:color="auto"/>
        <w:left w:val="none" w:sz="0" w:space="0" w:color="auto"/>
        <w:bottom w:val="none" w:sz="0" w:space="0" w:color="auto"/>
        <w:right w:val="none" w:sz="0" w:space="0" w:color="auto"/>
      </w:divBdr>
    </w:div>
    <w:div w:id="1551960380">
      <w:bodyDiv w:val="1"/>
      <w:marLeft w:val="0"/>
      <w:marRight w:val="0"/>
      <w:marTop w:val="0"/>
      <w:marBottom w:val="0"/>
      <w:divBdr>
        <w:top w:val="none" w:sz="0" w:space="0" w:color="auto"/>
        <w:left w:val="none" w:sz="0" w:space="0" w:color="auto"/>
        <w:bottom w:val="none" w:sz="0" w:space="0" w:color="auto"/>
        <w:right w:val="none" w:sz="0" w:space="0" w:color="auto"/>
      </w:divBdr>
    </w:div>
    <w:div w:id="1568106281">
      <w:bodyDiv w:val="1"/>
      <w:marLeft w:val="0"/>
      <w:marRight w:val="0"/>
      <w:marTop w:val="0"/>
      <w:marBottom w:val="0"/>
      <w:divBdr>
        <w:top w:val="none" w:sz="0" w:space="0" w:color="auto"/>
        <w:left w:val="none" w:sz="0" w:space="0" w:color="auto"/>
        <w:bottom w:val="none" w:sz="0" w:space="0" w:color="auto"/>
        <w:right w:val="none" w:sz="0" w:space="0" w:color="auto"/>
      </w:divBdr>
    </w:div>
    <w:div w:id="1604142026">
      <w:bodyDiv w:val="1"/>
      <w:marLeft w:val="0"/>
      <w:marRight w:val="0"/>
      <w:marTop w:val="0"/>
      <w:marBottom w:val="0"/>
      <w:divBdr>
        <w:top w:val="none" w:sz="0" w:space="0" w:color="auto"/>
        <w:left w:val="none" w:sz="0" w:space="0" w:color="auto"/>
        <w:bottom w:val="none" w:sz="0" w:space="0" w:color="auto"/>
        <w:right w:val="none" w:sz="0" w:space="0" w:color="auto"/>
      </w:divBdr>
    </w:div>
    <w:div w:id="1621957601">
      <w:bodyDiv w:val="1"/>
      <w:marLeft w:val="0"/>
      <w:marRight w:val="0"/>
      <w:marTop w:val="0"/>
      <w:marBottom w:val="0"/>
      <w:divBdr>
        <w:top w:val="none" w:sz="0" w:space="0" w:color="auto"/>
        <w:left w:val="none" w:sz="0" w:space="0" w:color="auto"/>
        <w:bottom w:val="none" w:sz="0" w:space="0" w:color="auto"/>
        <w:right w:val="none" w:sz="0" w:space="0" w:color="auto"/>
      </w:divBdr>
    </w:div>
    <w:div w:id="1627544544">
      <w:bodyDiv w:val="1"/>
      <w:marLeft w:val="0"/>
      <w:marRight w:val="0"/>
      <w:marTop w:val="0"/>
      <w:marBottom w:val="0"/>
      <w:divBdr>
        <w:top w:val="none" w:sz="0" w:space="0" w:color="auto"/>
        <w:left w:val="none" w:sz="0" w:space="0" w:color="auto"/>
        <w:bottom w:val="none" w:sz="0" w:space="0" w:color="auto"/>
        <w:right w:val="none" w:sz="0" w:space="0" w:color="auto"/>
      </w:divBdr>
    </w:div>
    <w:div w:id="1629356924">
      <w:bodyDiv w:val="1"/>
      <w:marLeft w:val="0"/>
      <w:marRight w:val="0"/>
      <w:marTop w:val="0"/>
      <w:marBottom w:val="0"/>
      <w:divBdr>
        <w:top w:val="none" w:sz="0" w:space="0" w:color="auto"/>
        <w:left w:val="none" w:sz="0" w:space="0" w:color="auto"/>
        <w:bottom w:val="none" w:sz="0" w:space="0" w:color="auto"/>
        <w:right w:val="none" w:sz="0" w:space="0" w:color="auto"/>
      </w:divBdr>
    </w:div>
    <w:div w:id="1662808991">
      <w:bodyDiv w:val="1"/>
      <w:marLeft w:val="0"/>
      <w:marRight w:val="0"/>
      <w:marTop w:val="0"/>
      <w:marBottom w:val="0"/>
      <w:divBdr>
        <w:top w:val="none" w:sz="0" w:space="0" w:color="auto"/>
        <w:left w:val="none" w:sz="0" w:space="0" w:color="auto"/>
        <w:bottom w:val="none" w:sz="0" w:space="0" w:color="auto"/>
        <w:right w:val="none" w:sz="0" w:space="0" w:color="auto"/>
      </w:divBdr>
    </w:div>
    <w:div w:id="1698654386">
      <w:bodyDiv w:val="1"/>
      <w:marLeft w:val="0"/>
      <w:marRight w:val="0"/>
      <w:marTop w:val="0"/>
      <w:marBottom w:val="0"/>
      <w:divBdr>
        <w:top w:val="none" w:sz="0" w:space="0" w:color="auto"/>
        <w:left w:val="none" w:sz="0" w:space="0" w:color="auto"/>
        <w:bottom w:val="none" w:sz="0" w:space="0" w:color="auto"/>
        <w:right w:val="none" w:sz="0" w:space="0" w:color="auto"/>
      </w:divBdr>
    </w:div>
    <w:div w:id="1709143233">
      <w:bodyDiv w:val="1"/>
      <w:marLeft w:val="0"/>
      <w:marRight w:val="0"/>
      <w:marTop w:val="0"/>
      <w:marBottom w:val="0"/>
      <w:divBdr>
        <w:top w:val="none" w:sz="0" w:space="0" w:color="auto"/>
        <w:left w:val="none" w:sz="0" w:space="0" w:color="auto"/>
        <w:bottom w:val="none" w:sz="0" w:space="0" w:color="auto"/>
        <w:right w:val="none" w:sz="0" w:space="0" w:color="auto"/>
      </w:divBdr>
    </w:div>
    <w:div w:id="1710572749">
      <w:bodyDiv w:val="1"/>
      <w:marLeft w:val="0"/>
      <w:marRight w:val="0"/>
      <w:marTop w:val="0"/>
      <w:marBottom w:val="0"/>
      <w:divBdr>
        <w:top w:val="none" w:sz="0" w:space="0" w:color="auto"/>
        <w:left w:val="none" w:sz="0" w:space="0" w:color="auto"/>
        <w:bottom w:val="none" w:sz="0" w:space="0" w:color="auto"/>
        <w:right w:val="none" w:sz="0" w:space="0" w:color="auto"/>
      </w:divBdr>
    </w:div>
    <w:div w:id="1727529771">
      <w:bodyDiv w:val="1"/>
      <w:marLeft w:val="0"/>
      <w:marRight w:val="0"/>
      <w:marTop w:val="0"/>
      <w:marBottom w:val="0"/>
      <w:divBdr>
        <w:top w:val="none" w:sz="0" w:space="0" w:color="auto"/>
        <w:left w:val="none" w:sz="0" w:space="0" w:color="auto"/>
        <w:bottom w:val="none" w:sz="0" w:space="0" w:color="auto"/>
        <w:right w:val="none" w:sz="0" w:space="0" w:color="auto"/>
      </w:divBdr>
    </w:div>
    <w:div w:id="1733309279">
      <w:bodyDiv w:val="1"/>
      <w:marLeft w:val="0"/>
      <w:marRight w:val="0"/>
      <w:marTop w:val="0"/>
      <w:marBottom w:val="0"/>
      <w:divBdr>
        <w:top w:val="none" w:sz="0" w:space="0" w:color="auto"/>
        <w:left w:val="none" w:sz="0" w:space="0" w:color="auto"/>
        <w:bottom w:val="none" w:sz="0" w:space="0" w:color="auto"/>
        <w:right w:val="none" w:sz="0" w:space="0" w:color="auto"/>
      </w:divBdr>
    </w:div>
    <w:div w:id="1737244390">
      <w:bodyDiv w:val="1"/>
      <w:marLeft w:val="0"/>
      <w:marRight w:val="0"/>
      <w:marTop w:val="0"/>
      <w:marBottom w:val="0"/>
      <w:divBdr>
        <w:top w:val="none" w:sz="0" w:space="0" w:color="auto"/>
        <w:left w:val="none" w:sz="0" w:space="0" w:color="auto"/>
        <w:bottom w:val="none" w:sz="0" w:space="0" w:color="auto"/>
        <w:right w:val="none" w:sz="0" w:space="0" w:color="auto"/>
      </w:divBdr>
    </w:div>
    <w:div w:id="1737892727">
      <w:bodyDiv w:val="1"/>
      <w:marLeft w:val="0"/>
      <w:marRight w:val="0"/>
      <w:marTop w:val="0"/>
      <w:marBottom w:val="0"/>
      <w:divBdr>
        <w:top w:val="none" w:sz="0" w:space="0" w:color="auto"/>
        <w:left w:val="none" w:sz="0" w:space="0" w:color="auto"/>
        <w:bottom w:val="none" w:sz="0" w:space="0" w:color="auto"/>
        <w:right w:val="none" w:sz="0" w:space="0" w:color="auto"/>
      </w:divBdr>
    </w:div>
    <w:div w:id="1753089898">
      <w:bodyDiv w:val="1"/>
      <w:marLeft w:val="0"/>
      <w:marRight w:val="0"/>
      <w:marTop w:val="0"/>
      <w:marBottom w:val="0"/>
      <w:divBdr>
        <w:top w:val="none" w:sz="0" w:space="0" w:color="auto"/>
        <w:left w:val="none" w:sz="0" w:space="0" w:color="auto"/>
        <w:bottom w:val="none" w:sz="0" w:space="0" w:color="auto"/>
        <w:right w:val="none" w:sz="0" w:space="0" w:color="auto"/>
      </w:divBdr>
    </w:div>
    <w:div w:id="1759591558">
      <w:bodyDiv w:val="1"/>
      <w:marLeft w:val="0"/>
      <w:marRight w:val="0"/>
      <w:marTop w:val="0"/>
      <w:marBottom w:val="0"/>
      <w:divBdr>
        <w:top w:val="none" w:sz="0" w:space="0" w:color="auto"/>
        <w:left w:val="none" w:sz="0" w:space="0" w:color="auto"/>
        <w:bottom w:val="none" w:sz="0" w:space="0" w:color="auto"/>
        <w:right w:val="none" w:sz="0" w:space="0" w:color="auto"/>
      </w:divBdr>
    </w:div>
    <w:div w:id="1795563271">
      <w:bodyDiv w:val="1"/>
      <w:marLeft w:val="0"/>
      <w:marRight w:val="0"/>
      <w:marTop w:val="0"/>
      <w:marBottom w:val="0"/>
      <w:divBdr>
        <w:top w:val="none" w:sz="0" w:space="0" w:color="auto"/>
        <w:left w:val="none" w:sz="0" w:space="0" w:color="auto"/>
        <w:bottom w:val="none" w:sz="0" w:space="0" w:color="auto"/>
        <w:right w:val="none" w:sz="0" w:space="0" w:color="auto"/>
      </w:divBdr>
    </w:div>
    <w:div w:id="1806965067">
      <w:bodyDiv w:val="1"/>
      <w:marLeft w:val="0"/>
      <w:marRight w:val="0"/>
      <w:marTop w:val="0"/>
      <w:marBottom w:val="0"/>
      <w:divBdr>
        <w:top w:val="none" w:sz="0" w:space="0" w:color="auto"/>
        <w:left w:val="none" w:sz="0" w:space="0" w:color="auto"/>
        <w:bottom w:val="none" w:sz="0" w:space="0" w:color="auto"/>
        <w:right w:val="none" w:sz="0" w:space="0" w:color="auto"/>
      </w:divBdr>
    </w:div>
    <w:div w:id="1857690589">
      <w:bodyDiv w:val="1"/>
      <w:marLeft w:val="0"/>
      <w:marRight w:val="0"/>
      <w:marTop w:val="0"/>
      <w:marBottom w:val="0"/>
      <w:divBdr>
        <w:top w:val="none" w:sz="0" w:space="0" w:color="auto"/>
        <w:left w:val="none" w:sz="0" w:space="0" w:color="auto"/>
        <w:bottom w:val="none" w:sz="0" w:space="0" w:color="auto"/>
        <w:right w:val="none" w:sz="0" w:space="0" w:color="auto"/>
      </w:divBdr>
    </w:div>
    <w:div w:id="1888562318">
      <w:bodyDiv w:val="1"/>
      <w:marLeft w:val="0"/>
      <w:marRight w:val="0"/>
      <w:marTop w:val="0"/>
      <w:marBottom w:val="0"/>
      <w:divBdr>
        <w:top w:val="none" w:sz="0" w:space="0" w:color="auto"/>
        <w:left w:val="none" w:sz="0" w:space="0" w:color="auto"/>
        <w:bottom w:val="none" w:sz="0" w:space="0" w:color="auto"/>
        <w:right w:val="none" w:sz="0" w:space="0" w:color="auto"/>
      </w:divBdr>
    </w:div>
    <w:div w:id="1890871124">
      <w:bodyDiv w:val="1"/>
      <w:marLeft w:val="0"/>
      <w:marRight w:val="0"/>
      <w:marTop w:val="0"/>
      <w:marBottom w:val="0"/>
      <w:divBdr>
        <w:top w:val="none" w:sz="0" w:space="0" w:color="auto"/>
        <w:left w:val="none" w:sz="0" w:space="0" w:color="auto"/>
        <w:bottom w:val="none" w:sz="0" w:space="0" w:color="auto"/>
        <w:right w:val="none" w:sz="0" w:space="0" w:color="auto"/>
      </w:divBdr>
    </w:div>
    <w:div w:id="1918126389">
      <w:bodyDiv w:val="1"/>
      <w:marLeft w:val="0"/>
      <w:marRight w:val="0"/>
      <w:marTop w:val="0"/>
      <w:marBottom w:val="0"/>
      <w:divBdr>
        <w:top w:val="none" w:sz="0" w:space="0" w:color="auto"/>
        <w:left w:val="none" w:sz="0" w:space="0" w:color="auto"/>
        <w:bottom w:val="none" w:sz="0" w:space="0" w:color="auto"/>
        <w:right w:val="none" w:sz="0" w:space="0" w:color="auto"/>
      </w:divBdr>
    </w:div>
    <w:div w:id="1939217885">
      <w:bodyDiv w:val="1"/>
      <w:marLeft w:val="0"/>
      <w:marRight w:val="0"/>
      <w:marTop w:val="0"/>
      <w:marBottom w:val="0"/>
      <w:divBdr>
        <w:top w:val="none" w:sz="0" w:space="0" w:color="auto"/>
        <w:left w:val="none" w:sz="0" w:space="0" w:color="auto"/>
        <w:bottom w:val="none" w:sz="0" w:space="0" w:color="auto"/>
        <w:right w:val="none" w:sz="0" w:space="0" w:color="auto"/>
      </w:divBdr>
    </w:div>
    <w:div w:id="1945727742">
      <w:bodyDiv w:val="1"/>
      <w:marLeft w:val="0"/>
      <w:marRight w:val="0"/>
      <w:marTop w:val="0"/>
      <w:marBottom w:val="0"/>
      <w:divBdr>
        <w:top w:val="none" w:sz="0" w:space="0" w:color="auto"/>
        <w:left w:val="none" w:sz="0" w:space="0" w:color="auto"/>
        <w:bottom w:val="none" w:sz="0" w:space="0" w:color="auto"/>
        <w:right w:val="none" w:sz="0" w:space="0" w:color="auto"/>
      </w:divBdr>
    </w:div>
    <w:div w:id="1953509101">
      <w:bodyDiv w:val="1"/>
      <w:marLeft w:val="0"/>
      <w:marRight w:val="0"/>
      <w:marTop w:val="0"/>
      <w:marBottom w:val="0"/>
      <w:divBdr>
        <w:top w:val="none" w:sz="0" w:space="0" w:color="auto"/>
        <w:left w:val="none" w:sz="0" w:space="0" w:color="auto"/>
        <w:bottom w:val="none" w:sz="0" w:space="0" w:color="auto"/>
        <w:right w:val="none" w:sz="0" w:space="0" w:color="auto"/>
      </w:divBdr>
    </w:div>
    <w:div w:id="2019185762">
      <w:bodyDiv w:val="1"/>
      <w:marLeft w:val="0"/>
      <w:marRight w:val="0"/>
      <w:marTop w:val="0"/>
      <w:marBottom w:val="0"/>
      <w:divBdr>
        <w:top w:val="none" w:sz="0" w:space="0" w:color="auto"/>
        <w:left w:val="none" w:sz="0" w:space="0" w:color="auto"/>
        <w:bottom w:val="none" w:sz="0" w:space="0" w:color="auto"/>
        <w:right w:val="none" w:sz="0" w:space="0" w:color="auto"/>
      </w:divBdr>
    </w:div>
    <w:div w:id="2053993519">
      <w:bodyDiv w:val="1"/>
      <w:marLeft w:val="0"/>
      <w:marRight w:val="0"/>
      <w:marTop w:val="0"/>
      <w:marBottom w:val="0"/>
      <w:divBdr>
        <w:top w:val="none" w:sz="0" w:space="0" w:color="auto"/>
        <w:left w:val="none" w:sz="0" w:space="0" w:color="auto"/>
        <w:bottom w:val="none" w:sz="0" w:space="0" w:color="auto"/>
        <w:right w:val="none" w:sz="0" w:space="0" w:color="auto"/>
      </w:divBdr>
    </w:div>
    <w:div w:id="2064792368">
      <w:bodyDiv w:val="1"/>
      <w:marLeft w:val="0"/>
      <w:marRight w:val="0"/>
      <w:marTop w:val="0"/>
      <w:marBottom w:val="0"/>
      <w:divBdr>
        <w:top w:val="none" w:sz="0" w:space="0" w:color="auto"/>
        <w:left w:val="none" w:sz="0" w:space="0" w:color="auto"/>
        <w:bottom w:val="none" w:sz="0" w:space="0" w:color="auto"/>
        <w:right w:val="none" w:sz="0" w:space="0" w:color="auto"/>
      </w:divBdr>
    </w:div>
    <w:div w:id="2106681565">
      <w:bodyDiv w:val="1"/>
      <w:marLeft w:val="0"/>
      <w:marRight w:val="0"/>
      <w:marTop w:val="0"/>
      <w:marBottom w:val="0"/>
      <w:divBdr>
        <w:top w:val="none" w:sz="0" w:space="0" w:color="auto"/>
        <w:left w:val="none" w:sz="0" w:space="0" w:color="auto"/>
        <w:bottom w:val="none" w:sz="0" w:space="0" w:color="auto"/>
        <w:right w:val="none" w:sz="0" w:space="0" w:color="auto"/>
      </w:divBdr>
    </w:div>
    <w:div w:id="214014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D:\ITAEE\II%20Trim-2020\Gr&#225;ficas_ITAEE_2do_T%20_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D:\ITAEE\II%20Trim-2020\Gr&#225;ficas_Contribuci&#243;n_ITAEE_2do_T_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0"/>
      <c:rotY val="10"/>
      <c:rAngAx val="1"/>
    </c:view3D>
    <c:floor>
      <c:thickness val="0"/>
      <c:spPr>
        <a:noFill/>
        <a:ln w="9525" cap="flat" cmpd="sng" algn="ctr">
          <a:solidFill>
            <a:schemeClr val="bg1">
              <a:lumMod val="50000"/>
            </a:schemeClr>
          </a:solidFill>
          <a:prstDash val="solid"/>
          <a:round/>
        </a:ln>
        <a:effectLst/>
        <a:sp3d contourW="9525">
          <a:contourClr>
            <a:schemeClr val="bg1">
              <a:lumMod val="50000"/>
            </a:schemeClr>
          </a:contourClr>
        </a:sp3d>
      </c:spPr>
    </c:floor>
    <c:sideWall>
      <c:thickness val="0"/>
      <c:spPr>
        <a:noFill/>
        <a:ln>
          <a:solidFill>
            <a:schemeClr val="bg1">
              <a:lumMod val="50000"/>
            </a:schemeClr>
          </a:solidFill>
        </a:ln>
        <a:effectLst/>
        <a:sp3d>
          <a:contourClr>
            <a:schemeClr val="bg1">
              <a:lumMod val="50000"/>
            </a:schemeClr>
          </a:contourClr>
        </a:sp3d>
      </c:spPr>
    </c:sideWall>
    <c:backWall>
      <c:thickness val="0"/>
      <c:spPr>
        <a:noFill/>
        <a:ln>
          <a:solidFill>
            <a:schemeClr val="bg1">
              <a:lumMod val="50000"/>
            </a:schemeClr>
          </a:solidFill>
        </a:ln>
        <a:effectLst/>
        <a:sp3d>
          <a:contourClr>
            <a:schemeClr val="bg1">
              <a:lumMod val="50000"/>
            </a:schemeClr>
          </a:contourClr>
        </a:sp3d>
      </c:spPr>
    </c:backWall>
    <c:plotArea>
      <c:layout>
        <c:manualLayout>
          <c:layoutTarget val="inner"/>
          <c:xMode val="edge"/>
          <c:yMode val="edge"/>
          <c:x val="0.38165295815295813"/>
          <c:y val="3.8766788766788768E-2"/>
          <c:w val="0.55954329004329006"/>
          <c:h val="0.90195526695526695"/>
        </c:manualLayout>
      </c:layout>
      <c:bar3DChart>
        <c:barDir val="bar"/>
        <c:grouping val="clustered"/>
        <c:varyColors val="0"/>
        <c:ser>
          <c:idx val="0"/>
          <c:order val="0"/>
          <c:tx>
            <c:v>Total</c:v>
          </c:tx>
          <c:spPr>
            <a:solidFill>
              <a:schemeClr val="accent1"/>
            </a:solidFill>
            <a:ln>
              <a:noFill/>
            </a:ln>
            <a:effectLst/>
            <a:sp3d/>
          </c:spPr>
          <c:invertIfNegative val="0"/>
          <c:dPt>
            <c:idx val="10"/>
            <c:invertIfNegative val="0"/>
            <c:bubble3D val="0"/>
            <c:spPr>
              <a:solidFill>
                <a:schemeClr val="accent1"/>
              </a:solidFill>
              <a:ln>
                <a:noFill/>
              </a:ln>
              <a:effectLst/>
              <a:sp3d/>
            </c:spPr>
            <c:extLst xmlns:c16r2="http://schemas.microsoft.com/office/drawing/2015/06/chart">
              <c:ext xmlns:c16="http://schemas.microsoft.com/office/drawing/2014/chart" uri="{C3380CC4-5D6E-409C-BE32-E72D297353CC}">
                <c16:uniqueId val="{00000001-6517-41C7-8F51-0ABF23B1D980}"/>
              </c:ext>
            </c:extLst>
          </c:dPt>
          <c:dPt>
            <c:idx val="11"/>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03-6517-41C7-8F51-0ABF23B1D980}"/>
              </c:ext>
            </c:extLst>
          </c:dPt>
          <c:dPt>
            <c:idx val="12"/>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05-6517-41C7-8F51-0ABF23B1D980}"/>
              </c:ext>
            </c:extLst>
          </c:dPt>
          <c:dPt>
            <c:idx val="13"/>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07-6517-41C7-8F51-0ABF23B1D980}"/>
              </c:ext>
            </c:extLst>
          </c:dPt>
          <c:dPt>
            <c:idx val="14"/>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09-6517-41C7-8F51-0ABF23B1D980}"/>
              </c:ext>
            </c:extLst>
          </c:dPt>
          <c:dPt>
            <c:idx val="15"/>
            <c:invertIfNegative val="0"/>
            <c:bubble3D val="0"/>
            <c:spPr>
              <a:solidFill>
                <a:schemeClr val="accent1"/>
              </a:solidFill>
              <a:ln>
                <a:noFill/>
              </a:ln>
              <a:effectLst/>
              <a:sp3d/>
            </c:spPr>
            <c:extLst xmlns:c16r2="http://schemas.microsoft.com/office/drawing/2015/06/chart">
              <c:ext xmlns:c16="http://schemas.microsoft.com/office/drawing/2014/chart" uri="{C3380CC4-5D6E-409C-BE32-E72D297353CC}">
                <c16:uniqueId val="{0000000B-6517-41C7-8F51-0ABF23B1D980}"/>
              </c:ext>
            </c:extLst>
          </c:dPt>
          <c:dPt>
            <c:idx val="16"/>
            <c:invertIfNegative val="0"/>
            <c:bubble3D val="0"/>
            <c:spPr>
              <a:solidFill>
                <a:schemeClr val="accent1">
                  <a:lumMod val="50000"/>
                </a:schemeClr>
              </a:solidFill>
              <a:ln>
                <a:noFill/>
              </a:ln>
              <a:effectLst>
                <a:outerShdw blurRad="50800" dist="50800" dir="5400000" algn="ctr" rotWithShape="0">
                  <a:schemeClr val="accent5">
                    <a:lumMod val="20000"/>
                    <a:lumOff val="80000"/>
                  </a:schemeClr>
                </a:outerShdw>
              </a:effectLst>
              <a:sp3d/>
            </c:spPr>
            <c:extLst xmlns:c16r2="http://schemas.microsoft.com/office/drawing/2015/06/chart">
              <c:ext xmlns:c16="http://schemas.microsoft.com/office/drawing/2014/chart" uri="{C3380CC4-5D6E-409C-BE32-E72D297353CC}">
                <c16:uniqueId val="{0000000D-6517-41C7-8F51-0ABF23B1D980}"/>
              </c:ext>
            </c:extLst>
          </c:dPt>
          <c:dPt>
            <c:idx val="17"/>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0F-6517-41C7-8F51-0ABF23B1D980}"/>
              </c:ext>
            </c:extLst>
          </c:dPt>
          <c:dPt>
            <c:idx val="18"/>
            <c:invertIfNegative val="0"/>
            <c:bubble3D val="0"/>
            <c:spPr>
              <a:solidFill>
                <a:schemeClr val="accent1"/>
              </a:solidFill>
              <a:ln>
                <a:noFill/>
              </a:ln>
              <a:effectLst/>
              <a:sp3d/>
            </c:spPr>
            <c:extLst xmlns:c16r2="http://schemas.microsoft.com/office/drawing/2015/06/chart">
              <c:ext xmlns:c16="http://schemas.microsoft.com/office/drawing/2014/chart" uri="{C3380CC4-5D6E-409C-BE32-E72D297353CC}">
                <c16:uniqueId val="{00000011-6517-41C7-8F51-0ABF23B1D980}"/>
              </c:ext>
            </c:extLst>
          </c:dPt>
          <c:dPt>
            <c:idx val="19"/>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13-6517-41C7-8F51-0ABF23B1D980}"/>
              </c:ext>
            </c:extLst>
          </c:dPt>
          <c:dPt>
            <c:idx val="21"/>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15-6517-41C7-8F51-0ABF23B1D980}"/>
              </c:ext>
            </c:extLst>
          </c:dPt>
          <c:dPt>
            <c:idx val="32"/>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17-6517-41C7-8F51-0ABF23B1D980}"/>
              </c:ext>
            </c:extLst>
          </c:dPt>
          <c:dLbls>
            <c:dLbl>
              <c:idx val="0"/>
              <c:layout>
                <c:manualLayout>
                  <c:x val="-2.6895270154641562E-2"/>
                  <c:y val="9.9430839561640547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6517-41C7-8F51-0ABF23B1D980}"/>
                </c:ext>
                <c:ext xmlns:c15="http://schemas.microsoft.com/office/drawing/2012/chart" uri="{CE6537A1-D6FC-4f65-9D91-7224C49458BB}"/>
              </c:extLst>
            </c:dLbl>
            <c:dLbl>
              <c:idx val="1"/>
              <c:layout>
                <c:manualLayout>
                  <c:x val="-1.8317460317460319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6517-41C7-8F51-0ABF23B1D980}"/>
                </c:ext>
                <c:ext xmlns:c15="http://schemas.microsoft.com/office/drawing/2012/chart" uri="{CE6537A1-D6FC-4f65-9D91-7224C49458BB}"/>
              </c:extLst>
            </c:dLbl>
            <c:dLbl>
              <c:idx val="2"/>
              <c:layout>
                <c:manualLayout>
                  <c:x val="-1.9783189033189034E-2"/>
                  <c:y val="-2.01798201798201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6517-41C7-8F51-0ABF23B1D980}"/>
                </c:ext>
                <c:ext xmlns:c15="http://schemas.microsoft.com/office/drawing/2012/chart" uri="{CE6537A1-D6FC-4f65-9D91-7224C49458BB}"/>
              </c:extLst>
            </c:dLbl>
            <c:dLbl>
              <c:idx val="3"/>
              <c:layout>
                <c:manualLayout>
                  <c:x val="-1.9787518037517954E-2"/>
                  <c:y val="-2.017982017982147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6517-41C7-8F51-0ABF23B1D980}"/>
                </c:ext>
                <c:ext xmlns:c15="http://schemas.microsoft.com/office/drawing/2012/chart" uri="{CE6537A1-D6FC-4f65-9D91-7224C49458BB}"/>
              </c:extLst>
            </c:dLbl>
            <c:dLbl>
              <c:idx val="4"/>
              <c:layout>
                <c:manualLayout>
                  <c:x val="-1.9786435786435786E-2"/>
                  <c:y val="-5.542235542235542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6517-41C7-8F51-0ABF23B1D980}"/>
                </c:ext>
                <c:ext xmlns:c15="http://schemas.microsoft.com/office/drawing/2012/chart" uri="{CE6537A1-D6FC-4f65-9D91-7224C49458BB}"/>
              </c:extLst>
            </c:dLbl>
            <c:dLbl>
              <c:idx val="5"/>
              <c:layout>
                <c:manualLayout>
                  <c:x val="-1.8318903318903318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6517-41C7-8F51-0ABF23B1D980}"/>
                </c:ext>
                <c:ext xmlns:c15="http://schemas.microsoft.com/office/drawing/2012/chart" uri="{CE6537A1-D6FC-4f65-9D91-7224C49458BB}"/>
              </c:extLst>
            </c:dLbl>
            <c:dLbl>
              <c:idx val="6"/>
              <c:layout>
                <c:manualLayout>
                  <c:x val="-1.8317460317460319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E-6517-41C7-8F51-0ABF23B1D980}"/>
                </c:ext>
                <c:ext xmlns:c15="http://schemas.microsoft.com/office/drawing/2012/chart" uri="{CE6537A1-D6FC-4f65-9D91-7224C49458BB}"/>
              </c:extLst>
            </c:dLbl>
            <c:dLbl>
              <c:idx val="7"/>
              <c:layout>
                <c:manualLayout>
                  <c:x val="-2.9775613275613275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F-6517-41C7-8F51-0ABF23B1D980}"/>
                </c:ext>
                <c:ext xmlns:c15="http://schemas.microsoft.com/office/drawing/2012/chart" uri="{CE6537A1-D6FC-4f65-9D91-7224C49458BB}">
                  <c15:layout>
                    <c:manualLayout>
                      <c:w val="0.10232864357864357"/>
                      <c:h val="3.1348373848373849E-2"/>
                    </c:manualLayout>
                  </c15:layout>
                </c:ext>
              </c:extLst>
            </c:dLbl>
            <c:dLbl>
              <c:idx val="8"/>
              <c:layout>
                <c:manualLayout>
                  <c:x val="-2.2905122655122654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0-6517-41C7-8F51-0ABF23B1D980}"/>
                </c:ext>
                <c:ext xmlns:c15="http://schemas.microsoft.com/office/drawing/2012/chart" uri="{CE6537A1-D6FC-4f65-9D91-7224C49458BB}"/>
              </c:extLst>
            </c:dLbl>
            <c:dLbl>
              <c:idx val="9"/>
              <c:layout>
                <c:manualLayout>
                  <c:x val="-2.2905122655122654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1-6517-41C7-8F51-0ABF23B1D980}"/>
                </c:ext>
                <c:ext xmlns:c15="http://schemas.microsoft.com/office/drawing/2012/chart" uri="{CE6537A1-D6FC-4f65-9D91-7224C49458BB}"/>
              </c:extLst>
            </c:dLbl>
            <c:dLbl>
              <c:idx val="10"/>
              <c:layout>
                <c:manualLayout>
                  <c:x val="-2.9776695526695443E-2"/>
                  <c:y val="-3.524114774114774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517-41C7-8F51-0ABF23B1D980}"/>
                </c:ext>
                <c:ext xmlns:c15="http://schemas.microsoft.com/office/drawing/2012/chart" uri="{CE6537A1-D6FC-4f65-9D91-7224C49458BB}">
                  <c15:layout>
                    <c:manualLayout>
                      <c:w val="0.10691017316017316"/>
                      <c:h val="3.487262737262737E-2"/>
                    </c:manualLayout>
                  </c15:layout>
                </c:ext>
              </c:extLst>
            </c:dLbl>
            <c:dLbl>
              <c:idx val="11"/>
              <c:layout>
                <c:manualLayout>
                  <c:x val="-2.2905483405483405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517-41C7-8F51-0ABF23B1D980}"/>
                </c:ext>
                <c:ext xmlns:c15="http://schemas.microsoft.com/office/drawing/2012/chart" uri="{CE6537A1-D6FC-4f65-9D91-7224C49458BB}"/>
              </c:extLst>
            </c:dLbl>
            <c:dLbl>
              <c:idx val="12"/>
              <c:layout>
                <c:manualLayout>
                  <c:x val="-2.2906204906204906E-2"/>
                  <c:y val="-3.52425352425358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517-41C7-8F51-0ABF23B1D980}"/>
                </c:ext>
                <c:ext xmlns:c15="http://schemas.microsoft.com/office/drawing/2012/chart" uri="{CE6537A1-D6FC-4f65-9D91-7224C49458BB}"/>
              </c:extLst>
            </c:dLbl>
            <c:dLbl>
              <c:idx val="13"/>
              <c:layout>
                <c:manualLayout>
                  <c:x val="-2.2906926406926324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517-41C7-8F51-0ABF23B1D980}"/>
                </c:ext>
                <c:ext xmlns:c15="http://schemas.microsoft.com/office/drawing/2012/chart" uri="{CE6537A1-D6FC-4f65-9D91-7224C49458BB}"/>
              </c:extLst>
            </c:dLbl>
            <c:dLbl>
              <c:idx val="14"/>
              <c:layout>
                <c:manualLayout>
                  <c:x val="-2.2907287157287157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6517-41C7-8F51-0ABF23B1D980}"/>
                </c:ext>
                <c:ext xmlns:c15="http://schemas.microsoft.com/office/drawing/2012/chart" uri="{CE6537A1-D6FC-4f65-9D91-7224C49458BB}"/>
              </c:extLst>
            </c:dLbl>
            <c:dLbl>
              <c:idx val="15"/>
              <c:layout>
                <c:manualLayout>
                  <c:x val="-2.2906565656565656E-2"/>
                  <c:y val="-3.52425352425358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6517-41C7-8F51-0ABF23B1D980}"/>
                </c:ext>
                <c:ext xmlns:c15="http://schemas.microsoft.com/office/drawing/2012/chart" uri="{CE6537A1-D6FC-4f65-9D91-7224C49458BB}"/>
              </c:extLst>
            </c:dLbl>
            <c:dLbl>
              <c:idx val="16"/>
              <c:layout>
                <c:manualLayout>
                  <c:x val="-2.2907287157287157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6517-41C7-8F51-0ABF23B1D980}"/>
                </c:ext>
                <c:ext xmlns:c15="http://schemas.microsoft.com/office/drawing/2012/chart" uri="{CE6537A1-D6FC-4f65-9D91-7224C49458BB}"/>
              </c:extLst>
            </c:dLbl>
            <c:dLbl>
              <c:idx val="17"/>
              <c:layout>
                <c:manualLayout>
                  <c:x val="-1.8323593073593075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6517-41C7-8F51-0ABF23B1D980}"/>
                </c:ext>
                <c:ext xmlns:c15="http://schemas.microsoft.com/office/drawing/2012/chart" uri="{CE6537A1-D6FC-4f65-9D91-7224C49458BB}"/>
              </c:extLst>
            </c:dLbl>
            <c:dLbl>
              <c:idx val="18"/>
              <c:layout>
                <c:manualLayout>
                  <c:x val="-1.8323953823953739E-2"/>
                  <c:y val="-3.52425352425358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6517-41C7-8F51-0ABF23B1D980}"/>
                </c:ext>
                <c:ext xmlns:c15="http://schemas.microsoft.com/office/drawing/2012/chart" uri="{CE6537A1-D6FC-4f65-9D91-7224C49458BB}"/>
              </c:extLst>
            </c:dLbl>
            <c:dLbl>
              <c:idx val="19"/>
              <c:layout>
                <c:manualLayout>
                  <c:x val="-2.2905122655122571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6517-41C7-8F51-0ABF23B1D980}"/>
                </c:ext>
                <c:ext xmlns:c15="http://schemas.microsoft.com/office/drawing/2012/chart" uri="{CE6537A1-D6FC-4f65-9D91-7224C49458BB}"/>
              </c:extLst>
            </c:dLbl>
            <c:dLbl>
              <c:idx val="20"/>
              <c:layout>
                <c:manualLayout>
                  <c:x val="-2.2903318903318818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2-6517-41C7-8F51-0ABF23B1D980}"/>
                </c:ext>
                <c:ext xmlns:c15="http://schemas.microsoft.com/office/drawing/2012/chart" uri="{CE6537A1-D6FC-4f65-9D91-7224C49458BB}"/>
              </c:extLst>
            </c:dLbl>
            <c:dLbl>
              <c:idx val="21"/>
              <c:layout>
                <c:manualLayout>
                  <c:x val="-2.2905483405483405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6517-41C7-8F51-0ABF23B1D980}"/>
                </c:ext>
                <c:ext xmlns:c15="http://schemas.microsoft.com/office/drawing/2012/chart" uri="{CE6537A1-D6FC-4f65-9D91-7224C49458BB}"/>
              </c:extLst>
            </c:dLbl>
            <c:dLbl>
              <c:idx val="22"/>
              <c:layout>
                <c:manualLayout>
                  <c:x val="-2.2906204906204906E-2"/>
                  <c:y val="-3.52425352425358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3-6517-41C7-8F51-0ABF23B1D980}"/>
                </c:ext>
                <c:ext xmlns:c15="http://schemas.microsoft.com/office/drawing/2012/chart" uri="{CE6537A1-D6FC-4f65-9D91-7224C49458BB}"/>
              </c:extLst>
            </c:dLbl>
            <c:dLbl>
              <c:idx val="23"/>
              <c:layout>
                <c:manualLayout>
                  <c:x val="-1.8325396825396825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4-6517-41C7-8F51-0ABF23B1D980}"/>
                </c:ext>
                <c:ext xmlns:c15="http://schemas.microsoft.com/office/drawing/2012/chart" uri="{CE6537A1-D6FC-4f65-9D91-7224C49458BB}"/>
              </c:extLst>
            </c:dLbl>
            <c:dLbl>
              <c:idx val="24"/>
              <c:layout>
                <c:manualLayout>
                  <c:x val="-2.2906926406926407E-2"/>
                  <c:y val="-3.524253524253556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5-6517-41C7-8F51-0ABF23B1D980}"/>
                </c:ext>
                <c:ext xmlns:c15="http://schemas.microsoft.com/office/drawing/2012/chart" uri="{CE6537A1-D6FC-4f65-9D91-7224C49458BB}"/>
              </c:extLst>
            </c:dLbl>
            <c:dLbl>
              <c:idx val="25"/>
              <c:layout>
                <c:manualLayout>
                  <c:x val="-2.2906204906204906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6-6517-41C7-8F51-0ABF23B1D980}"/>
                </c:ext>
                <c:ext xmlns:c15="http://schemas.microsoft.com/office/drawing/2012/chart" uri="{CE6537A1-D6FC-4f65-9D91-7224C49458BB}"/>
              </c:extLst>
            </c:dLbl>
            <c:dLbl>
              <c:idx val="26"/>
              <c:layout>
                <c:manualLayout>
                  <c:x val="-2.2906926406926407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7-6517-41C7-8F51-0ABF23B1D980}"/>
                </c:ext>
                <c:ext xmlns:c15="http://schemas.microsoft.com/office/drawing/2012/chart" uri="{CE6537A1-D6FC-4f65-9D91-7224C49458BB}"/>
              </c:extLst>
            </c:dLbl>
            <c:dLbl>
              <c:idx val="27"/>
              <c:layout>
                <c:manualLayout>
                  <c:x val="-2.290656565656574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8-6517-41C7-8F51-0ABF23B1D980}"/>
                </c:ext>
                <c:ext xmlns:c15="http://schemas.microsoft.com/office/drawing/2012/chart" uri="{CE6537A1-D6FC-4f65-9D91-7224C49458BB}"/>
              </c:extLst>
            </c:dLbl>
            <c:dLbl>
              <c:idx val="28"/>
              <c:layout>
                <c:manualLayout>
                  <c:x val="-2.2907287157287074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9-6517-41C7-8F51-0ABF23B1D980}"/>
                </c:ext>
                <c:ext xmlns:c15="http://schemas.microsoft.com/office/drawing/2012/chart" uri="{CE6537A1-D6FC-4f65-9D91-7224C49458BB}"/>
              </c:extLst>
            </c:dLbl>
            <c:dLbl>
              <c:idx val="29"/>
              <c:layout>
                <c:manualLayout>
                  <c:x val="-2.2907287157287241E-2"/>
                  <c:y val="-3.524253524253540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A-6517-41C7-8F51-0ABF23B1D980}"/>
                </c:ext>
                <c:ext xmlns:c15="http://schemas.microsoft.com/office/drawing/2012/chart" uri="{CE6537A1-D6FC-4f65-9D91-7224C49458BB}"/>
              </c:extLst>
            </c:dLbl>
            <c:dLbl>
              <c:idx val="30"/>
              <c:layout>
                <c:manualLayout>
                  <c:x val="-1.8325396825396908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B-6517-41C7-8F51-0ABF23B1D980}"/>
                </c:ext>
                <c:ext xmlns:c15="http://schemas.microsoft.com/office/drawing/2012/chart" uri="{CE6537A1-D6FC-4f65-9D91-7224C49458BB}"/>
              </c:extLst>
            </c:dLbl>
            <c:dLbl>
              <c:idx val="31"/>
              <c:layout>
                <c:manualLayout>
                  <c:x val="-2.2905844155844155E-2"/>
                  <c:y val="-3.524253524253540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C-6517-41C7-8F51-0ABF23B1D980}"/>
                </c:ext>
                <c:ext xmlns:c15="http://schemas.microsoft.com/office/drawing/2012/chart" uri="{CE6537A1-D6FC-4f65-9D91-7224C49458BB}"/>
              </c:extLst>
            </c:dLbl>
            <c:dLbl>
              <c:idx val="32"/>
              <c:layout>
                <c:manualLayout>
                  <c:x val="-2.748917748917749E-2"/>
                  <c:y val="-2.018259518259518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6517-41C7-8F51-0ABF23B1D980}"/>
                </c:ext>
                <c:ext xmlns:c15="http://schemas.microsoft.com/office/drawing/2012/chart" uri="{CE6537A1-D6FC-4f65-9D91-7224C49458BB}"/>
              </c:extLst>
            </c:dLbl>
            <c:numFmt formatCode="0.0" sourceLinked="0"/>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itchFamily="34" charset="0"/>
                    <a:ea typeface="+mn-ea"/>
                    <a:cs typeface="Arial" pitchFamily="34" charset="0"/>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'Variaciones por EF'!$B$6:$B$38</c:f>
              <c:strCache>
                <c:ptCount val="33"/>
                <c:pt idx="0">
                  <c:v>Tabasco</c:v>
                </c:pt>
                <c:pt idx="1">
                  <c:v>Campeche</c:v>
                </c:pt>
                <c:pt idx="2">
                  <c:v>Chiapas</c:v>
                </c:pt>
                <c:pt idx="3">
                  <c:v>Michoacán de Ocampo</c:v>
                </c:pt>
                <c:pt idx="4">
                  <c:v>Colima</c:v>
                </c:pt>
                <c:pt idx="5">
                  <c:v>Sonora</c:v>
                </c:pt>
                <c:pt idx="6">
                  <c:v>Sinaloa</c:v>
                </c:pt>
                <c:pt idx="7">
                  <c:v>Durango</c:v>
                </c:pt>
                <c:pt idx="8">
                  <c:v>Jalisco</c:v>
                </c:pt>
                <c:pt idx="9">
                  <c:v>Tamaulipas</c:v>
                </c:pt>
                <c:pt idx="10">
                  <c:v>Veracruz de Ignacio de la Llave</c:v>
                </c:pt>
                <c:pt idx="11">
                  <c:v>Ciudad de México</c:v>
                </c:pt>
                <c:pt idx="12">
                  <c:v>Chihuahua</c:v>
                </c:pt>
                <c:pt idx="13">
                  <c:v>México</c:v>
                </c:pt>
                <c:pt idx="14">
                  <c:v>Oaxaca</c:v>
                </c:pt>
                <c:pt idx="15">
                  <c:v>Yucatán</c:v>
                </c:pt>
                <c:pt idx="16">
                  <c:v>Nacional</c:v>
                </c:pt>
                <c:pt idx="17">
                  <c:v>Hidalgo</c:v>
                </c:pt>
                <c:pt idx="18">
                  <c:v>Baja California</c:v>
                </c:pt>
                <c:pt idx="19">
                  <c:v>Zacatecas</c:v>
                </c:pt>
                <c:pt idx="20">
                  <c:v>Nuevo León</c:v>
                </c:pt>
                <c:pt idx="21">
                  <c:v>Guerrero</c:v>
                </c:pt>
                <c:pt idx="22">
                  <c:v>San Luis Potosí</c:v>
                </c:pt>
                <c:pt idx="23">
                  <c:v>Guanajuato</c:v>
                </c:pt>
                <c:pt idx="24">
                  <c:v>Tlaxcala</c:v>
                </c:pt>
                <c:pt idx="25">
                  <c:v>Querétaro</c:v>
                </c:pt>
                <c:pt idx="26">
                  <c:v>Nayarit</c:v>
                </c:pt>
                <c:pt idx="27">
                  <c:v>Aguascalientes</c:v>
                </c:pt>
                <c:pt idx="28">
                  <c:v>Morelos</c:v>
                </c:pt>
                <c:pt idx="29">
                  <c:v>Coahuila de Zaragoza</c:v>
                </c:pt>
                <c:pt idx="30">
                  <c:v>Puebla</c:v>
                </c:pt>
                <c:pt idx="31">
                  <c:v>Quintana Roo</c:v>
                </c:pt>
                <c:pt idx="32">
                  <c:v>Baja California Sur</c:v>
                </c:pt>
              </c:strCache>
            </c:strRef>
          </c:cat>
          <c:val>
            <c:numRef>
              <c:f>'Variaciones por EF'!$C$6:$C$38</c:f>
              <c:numCache>
                <c:formatCode>0.00</c:formatCode>
                <c:ptCount val="33"/>
                <c:pt idx="0">
                  <c:v>1.22233510058727</c:v>
                </c:pt>
                <c:pt idx="1">
                  <c:v>-9.5929379232899947</c:v>
                </c:pt>
                <c:pt idx="2">
                  <c:v>-12.441434259269684</c:v>
                </c:pt>
                <c:pt idx="3">
                  <c:v>-13.999808471171988</c:v>
                </c:pt>
                <c:pt idx="4">
                  <c:v>-14.041207049831854</c:v>
                </c:pt>
                <c:pt idx="5">
                  <c:v>-14.554575480444925</c:v>
                </c:pt>
                <c:pt idx="6">
                  <c:v>-15.439496048519274</c:v>
                </c:pt>
                <c:pt idx="7">
                  <c:v>-15.856316756983603</c:v>
                </c:pt>
                <c:pt idx="8">
                  <c:v>-16.078731223643928</c:v>
                </c:pt>
                <c:pt idx="9">
                  <c:v>-16.152108805539427</c:v>
                </c:pt>
                <c:pt idx="10">
                  <c:v>-16.455747437458982</c:v>
                </c:pt>
                <c:pt idx="11">
                  <c:v>-16.585139468118143</c:v>
                </c:pt>
                <c:pt idx="12">
                  <c:v>-17.038671710884429</c:v>
                </c:pt>
                <c:pt idx="13">
                  <c:v>-17.074480348337133</c:v>
                </c:pt>
                <c:pt idx="14">
                  <c:v>-17.269175831278943</c:v>
                </c:pt>
                <c:pt idx="15">
                  <c:v>-17.32871780383482</c:v>
                </c:pt>
                <c:pt idx="16">
                  <c:v>-18.52918995426009</c:v>
                </c:pt>
                <c:pt idx="17">
                  <c:v>-18.599654815559148</c:v>
                </c:pt>
                <c:pt idx="18">
                  <c:v>-18.617090772432348</c:v>
                </c:pt>
                <c:pt idx="19">
                  <c:v>-20.065151697918708</c:v>
                </c:pt>
                <c:pt idx="20">
                  <c:v>-21.917392117466349</c:v>
                </c:pt>
                <c:pt idx="21">
                  <c:v>-21.992052259319692</c:v>
                </c:pt>
                <c:pt idx="22">
                  <c:v>-22.376952730588314</c:v>
                </c:pt>
                <c:pt idx="23">
                  <c:v>-22.525863207077478</c:v>
                </c:pt>
                <c:pt idx="24">
                  <c:v>-22.629336837168012</c:v>
                </c:pt>
                <c:pt idx="25">
                  <c:v>-23.060710541516855</c:v>
                </c:pt>
                <c:pt idx="26">
                  <c:v>-23.204495166873144</c:v>
                </c:pt>
                <c:pt idx="27">
                  <c:v>-23.37317038328105</c:v>
                </c:pt>
                <c:pt idx="28">
                  <c:v>-23.612343022366687</c:v>
                </c:pt>
                <c:pt idx="29">
                  <c:v>-26.213677462106958</c:v>
                </c:pt>
                <c:pt idx="30">
                  <c:v>-29.276932239490975</c:v>
                </c:pt>
                <c:pt idx="31">
                  <c:v>-40.581794536366836</c:v>
                </c:pt>
                <c:pt idx="32">
                  <c:v>-42.425655668482264</c:v>
                </c:pt>
              </c:numCache>
            </c:numRef>
          </c:val>
          <c:extLst xmlns:c16r2="http://schemas.microsoft.com/office/drawing/2015/06/chart">
            <c:ext xmlns:c16="http://schemas.microsoft.com/office/drawing/2014/chart" uri="{C3380CC4-5D6E-409C-BE32-E72D297353CC}">
              <c16:uniqueId val="{0000002D-6517-41C7-8F51-0ABF23B1D980}"/>
            </c:ext>
          </c:extLst>
        </c:ser>
        <c:dLbls>
          <c:showLegendKey val="0"/>
          <c:showVal val="0"/>
          <c:showCatName val="0"/>
          <c:showSerName val="0"/>
          <c:showPercent val="0"/>
          <c:showBubbleSize val="0"/>
        </c:dLbls>
        <c:gapWidth val="50"/>
        <c:shape val="cylinder"/>
        <c:axId val="-350157408"/>
        <c:axId val="-350158496"/>
        <c:axId val="0"/>
      </c:bar3DChart>
      <c:catAx>
        <c:axId val="-350157408"/>
        <c:scaling>
          <c:orientation val="minMax"/>
        </c:scaling>
        <c:delete val="0"/>
        <c:axPos val="l"/>
        <c:numFmt formatCode="General" sourceLinked="0"/>
        <c:majorTickMark val="out"/>
        <c:minorTickMark val="none"/>
        <c:tickLblPos val="low"/>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550" b="0" i="0" u="none" strike="noStrike" kern="1200" baseline="0">
                <a:solidFill>
                  <a:schemeClr val="tx1"/>
                </a:solidFill>
                <a:latin typeface="Arial" pitchFamily="34" charset="0"/>
                <a:ea typeface="+mn-ea"/>
                <a:cs typeface="Arial" pitchFamily="34" charset="0"/>
              </a:defRPr>
            </a:pPr>
            <a:endParaRPr lang="es-MX"/>
          </a:p>
        </c:txPr>
        <c:crossAx val="-350158496"/>
        <c:crossesAt val="0"/>
        <c:auto val="1"/>
        <c:lblAlgn val="ctr"/>
        <c:lblOffset val="100"/>
        <c:noMultiLvlLbl val="0"/>
      </c:catAx>
      <c:valAx>
        <c:axId val="-350158496"/>
        <c:scaling>
          <c:orientation val="minMax"/>
          <c:max val="15"/>
          <c:min val="-60"/>
        </c:scaling>
        <c:delete val="0"/>
        <c:axPos val="b"/>
        <c:numFmt formatCode="#,##0.0"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600" b="0" i="0" u="none" strike="noStrike" kern="1200" baseline="0">
                <a:solidFill>
                  <a:schemeClr val="tx1"/>
                </a:solidFill>
                <a:latin typeface="Arial" pitchFamily="34" charset="0"/>
                <a:ea typeface="+mn-ea"/>
                <a:cs typeface="Arial" pitchFamily="34" charset="0"/>
              </a:defRPr>
            </a:pPr>
            <a:endParaRPr lang="es-MX"/>
          </a:p>
        </c:txPr>
        <c:crossAx val="-350157408"/>
        <c:crosses val="autoZero"/>
        <c:crossBetween val="between"/>
        <c:majorUnit val="15"/>
        <c:minorUnit val="1"/>
      </c:valAx>
      <c:spPr>
        <a:noFill/>
        <a:ln>
          <a:noFill/>
        </a:ln>
        <a:effectLst>
          <a:outerShdw blurRad="50800" dist="12700" dir="5400000" algn="ctr" rotWithShape="0">
            <a:schemeClr val="bg1"/>
          </a:outerShdw>
        </a:effectLst>
      </c:spPr>
    </c:plotArea>
    <c:plotVisOnly val="1"/>
    <c:dispBlanksAs val="gap"/>
    <c:showDLblsOverMax val="0"/>
  </c:chart>
  <c:spPr>
    <a:noFill/>
    <a:ln w="9525" cap="flat" cmpd="sng" algn="ctr">
      <a:solidFill>
        <a:schemeClr val="tx1">
          <a:tint val="75000"/>
          <a:shade val="95000"/>
          <a:satMod val="105000"/>
        </a:schemeClr>
      </a:solidFill>
      <a:prstDash val="solid"/>
      <a:round/>
    </a:ln>
    <a:effectLst>
      <a:outerShdw blurRad="50800" dist="12700" dir="5400000" algn="ctr" rotWithShape="0">
        <a:schemeClr val="tx1"/>
      </a:outerShdw>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ln>
          <a:solidFill>
            <a:prstClr val="black"/>
          </a:solidFill>
        </a:ln>
      </c:spPr>
    </c:floor>
    <c:sideWall>
      <c:thickness val="0"/>
      <c:spPr>
        <a:ln>
          <a:solidFill>
            <a:schemeClr val="tx1"/>
          </a:solidFill>
        </a:ln>
      </c:spPr>
    </c:sideWall>
    <c:backWall>
      <c:thickness val="0"/>
      <c:spPr>
        <a:ln>
          <a:solidFill>
            <a:schemeClr val="tx1"/>
          </a:solidFill>
        </a:ln>
      </c:spPr>
    </c:backWall>
    <c:plotArea>
      <c:layout>
        <c:manualLayout>
          <c:layoutTarget val="inner"/>
          <c:xMode val="edge"/>
          <c:yMode val="edge"/>
          <c:x val="0.25571990606887252"/>
          <c:y val="2.6248914112154062E-2"/>
          <c:w val="0.7110656007115187"/>
          <c:h val="0.90685324011126556"/>
        </c:manualLayout>
      </c:layout>
      <c:bar3DChart>
        <c:barDir val="bar"/>
        <c:grouping val="stacked"/>
        <c:varyColors val="0"/>
        <c:ser>
          <c:idx val="0"/>
          <c:order val="0"/>
          <c:invertIfNegative val="0"/>
          <c:dLbls>
            <c:dLbl>
              <c:idx val="0"/>
              <c:layout>
                <c:manualLayout>
                  <c:x val="5.1937950937950769E-2"/>
                  <c:y val="-2.994227994228123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B89-4F20-88FF-FCD58169F18E}"/>
                </c:ext>
                <c:ext xmlns:c15="http://schemas.microsoft.com/office/drawing/2012/chart" uri="{CE6537A1-D6FC-4f65-9D91-7224C49458BB}"/>
              </c:extLst>
            </c:dLbl>
            <c:dLbl>
              <c:idx val="1"/>
              <c:layout>
                <c:manualLayout>
                  <c:x val="-4.1535714285714287E-2"/>
                  <c:y val="5.2919302919302925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B89-4F20-88FF-FCD58169F18E}"/>
                </c:ext>
                <c:ext xmlns:c15="http://schemas.microsoft.com/office/drawing/2012/chart" uri="{CE6537A1-D6FC-4f65-9D91-7224C49458BB}"/>
              </c:extLst>
            </c:dLbl>
            <c:dLbl>
              <c:idx val="2"/>
              <c:layout>
                <c:manualLayout>
                  <c:x val="-4.6304473304473306E-2"/>
                  <c:y val="5.2863802863815782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B89-4F20-88FF-FCD58169F18E}"/>
                </c:ext>
                <c:ext xmlns:c15="http://schemas.microsoft.com/office/drawing/2012/chart" uri="{CE6537A1-D6FC-4f65-9D91-7224C49458BB}"/>
              </c:extLst>
            </c:dLbl>
            <c:dLbl>
              <c:idx val="3"/>
              <c:layout>
                <c:manualLayout>
                  <c:x val="-4.8146103896103895E-2"/>
                  <c:y val="2.039349539349539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B89-4F20-88FF-FCD58169F18E}"/>
                </c:ext>
                <c:ext xmlns:c15="http://schemas.microsoft.com/office/drawing/2012/chart" uri="{CE6537A1-D6FC-4f65-9D91-7224C49458BB}"/>
              </c:extLst>
            </c:dLbl>
            <c:dLbl>
              <c:idx val="4"/>
              <c:layout>
                <c:manualLayout>
                  <c:x val="-4.7879509379509383E-2"/>
                  <c:y val="2.543290043290043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B89-4F20-88FF-FCD58169F18E}"/>
                </c:ext>
                <c:ext xmlns:c15="http://schemas.microsoft.com/office/drawing/2012/chart" uri="{CE6537A1-D6FC-4f65-9D91-7224C49458BB}">
                  <c15:layout>
                    <c:manualLayout>
                      <c:w val="0.10386327561327562"/>
                      <c:h val="2.7824120324120325E-2"/>
                    </c:manualLayout>
                  </c15:layout>
                </c:ext>
              </c:extLst>
            </c:dLbl>
            <c:dLbl>
              <c:idx val="5"/>
              <c:layout>
                <c:manualLayout>
                  <c:x val="-5.201010101010118E-2"/>
                  <c:y val="2.286047286047415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B89-4F20-88FF-FCD58169F18E}"/>
                </c:ext>
                <c:ext xmlns:c15="http://schemas.microsoft.com/office/drawing/2012/chart" uri="{CE6537A1-D6FC-4f65-9D91-7224C49458BB}">
                  <c15:layout>
                    <c:manualLayout>
                      <c:w val="0.10844480519480519"/>
                      <c:h val="3.1348373848373849E-2"/>
                    </c:manualLayout>
                  </c15:layout>
                </c:ext>
              </c:extLst>
            </c:dLbl>
            <c:dLbl>
              <c:idx val="6"/>
              <c:layout>
                <c:manualLayout>
                  <c:x val="-5.4806277056277053E-2"/>
                  <c:y val="5.551948051948051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B89-4F20-88FF-FCD58169F18E}"/>
                </c:ext>
                <c:ext xmlns:c15="http://schemas.microsoft.com/office/drawing/2012/chart" uri="{CE6537A1-D6FC-4f65-9D91-7224C49458BB}"/>
              </c:extLst>
            </c:dLbl>
            <c:dLbl>
              <c:idx val="7"/>
              <c:layout>
                <c:manualLayout>
                  <c:x val="-5.3155844155844158E-2"/>
                  <c:y val="7.057942057942057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3B89-4F20-88FF-FCD58169F18E}"/>
                </c:ext>
                <c:ext xmlns:c15="http://schemas.microsoft.com/office/drawing/2012/chart" uri="{CE6537A1-D6FC-4f65-9D91-7224C49458BB}"/>
              </c:extLst>
            </c:dLbl>
            <c:dLbl>
              <c:idx val="8"/>
              <c:layout>
                <c:manualLayout>
                  <c:x val="-5.2703102453102453E-2"/>
                  <c:y val="7.05724830724830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3B89-4F20-88FF-FCD58169F18E}"/>
                </c:ext>
                <c:ext xmlns:c15="http://schemas.microsoft.com/office/drawing/2012/chart" uri="{CE6537A1-D6FC-4f65-9D91-7224C49458BB}">
                  <c15:layout>
                    <c:manualLayout>
                      <c:w val="0.10386327561327562"/>
                      <c:h val="3.487262737262737E-2"/>
                    </c:manualLayout>
                  </c15:layout>
                </c:ext>
              </c:extLst>
            </c:dLbl>
            <c:dLbl>
              <c:idx val="9"/>
              <c:layout>
                <c:manualLayout>
                  <c:x val="-5.6664862914863001E-2"/>
                  <c:y val="5.035520035520164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3B89-4F20-88FF-FCD58169F18E}"/>
                </c:ext>
                <c:ext xmlns:c15="http://schemas.microsoft.com/office/drawing/2012/chart" uri="{CE6537A1-D6FC-4f65-9D91-7224C49458BB}"/>
              </c:extLst>
            </c:dLbl>
            <c:dLbl>
              <c:idx val="10"/>
              <c:layout>
                <c:manualLayout>
                  <c:x val="-5.3734487734487732E-2"/>
                  <c:y val="5.033577533577533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3B89-4F20-88FF-FCD58169F18E}"/>
                </c:ext>
                <c:ext xmlns:c15="http://schemas.microsoft.com/office/drawing/2012/chart" uri="{CE6537A1-D6FC-4f65-9D91-7224C49458BB}"/>
              </c:extLst>
            </c:dLbl>
            <c:dLbl>
              <c:idx val="11"/>
              <c:layout>
                <c:manualLayout>
                  <c:x val="-5.3734126984126981E-2"/>
                  <c:y val="3.527306027306027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3B89-4F20-88FF-FCD58169F18E}"/>
                </c:ext>
                <c:ext xmlns:c15="http://schemas.microsoft.com/office/drawing/2012/chart" uri="{CE6537A1-D6FC-4f65-9D91-7224C49458BB}"/>
              </c:extLst>
            </c:dLbl>
            <c:dLbl>
              <c:idx val="12"/>
              <c:layout>
                <c:manualLayout>
                  <c:x val="-5.68531746031746E-2"/>
                  <c:y val="5.031357531357596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3B89-4F20-88FF-FCD58169F18E}"/>
                </c:ext>
                <c:ext xmlns:c15="http://schemas.microsoft.com/office/drawing/2012/chart" uri="{CE6537A1-D6FC-4f65-9D91-7224C49458BB}"/>
              </c:extLst>
            </c:dLbl>
            <c:dLbl>
              <c:idx val="13"/>
              <c:layout>
                <c:manualLayout>
                  <c:x val="-5.8504689754689754E-2"/>
                  <c:y val="3.526473526473526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3B89-4F20-88FF-FCD58169F18E}"/>
                </c:ext>
                <c:ext xmlns:c15="http://schemas.microsoft.com/office/drawing/2012/chart" uri="{CE6537A1-D6FC-4f65-9D91-7224C49458BB}"/>
              </c:extLst>
            </c:dLbl>
            <c:dLbl>
              <c:idx val="14"/>
              <c:layout>
                <c:manualLayout>
                  <c:x val="-5.5947330447330364E-2"/>
                  <c:y val="3.527306027306027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3B89-4F20-88FF-FCD58169F18E}"/>
                </c:ext>
                <c:ext xmlns:c15="http://schemas.microsoft.com/office/drawing/2012/chart" uri="{CE6537A1-D6FC-4f65-9D91-7224C49458BB}"/>
              </c:extLst>
            </c:dLbl>
            <c:dLbl>
              <c:idx val="15"/>
              <c:layout>
                <c:manualLayout>
                  <c:x val="-5.7603535353535351E-2"/>
                  <c:y val="5.545010545010609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3B89-4F20-88FF-FCD58169F18E}"/>
                </c:ext>
                <c:ext xmlns:c15="http://schemas.microsoft.com/office/drawing/2012/chart" uri="{CE6537A1-D6FC-4f65-9D91-7224C49458BB}"/>
              </c:extLst>
            </c:dLbl>
            <c:dLbl>
              <c:idx val="16"/>
              <c:layout>
                <c:manualLayout>
                  <c:x val="-5.7603896103896185E-2"/>
                  <c:y val="3.527583527583527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3B89-4F20-88FF-FCD58169F18E}"/>
                </c:ext>
                <c:ext xmlns:c15="http://schemas.microsoft.com/office/drawing/2012/chart" uri="{CE6537A1-D6FC-4f65-9D91-7224C49458BB}"/>
              </c:extLst>
            </c:dLbl>
            <c:dLbl>
              <c:idx val="17"/>
              <c:layout>
                <c:manualLayout>
                  <c:x val="-6.2375541125541126E-2"/>
                  <c:y val="3.527861027861027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3B89-4F20-88FF-FCD58169F18E}"/>
                </c:ext>
                <c:ext xmlns:c15="http://schemas.microsoft.com/office/drawing/2012/chart" uri="{CE6537A1-D6FC-4f65-9D91-7224C49458BB}"/>
              </c:extLst>
            </c:dLbl>
            <c:dLbl>
              <c:idx val="18"/>
              <c:layout>
                <c:manualLayout>
                  <c:x val="-6.091161616161616E-2"/>
                  <c:y val="3.527028527028526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3B89-4F20-88FF-FCD58169F18E}"/>
                </c:ext>
                <c:ext xmlns:c15="http://schemas.microsoft.com/office/drawing/2012/chart" uri="{CE6537A1-D6FC-4f65-9D91-7224C49458BB}"/>
              </c:extLst>
            </c:dLbl>
            <c:dLbl>
              <c:idx val="19"/>
              <c:layout>
                <c:manualLayout>
                  <c:x val="-6.1659812409812408E-2"/>
                  <c:y val="3.5253635253635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3B89-4F20-88FF-FCD58169F18E}"/>
                </c:ext>
                <c:ext xmlns:c15="http://schemas.microsoft.com/office/drawing/2012/chart" uri="{CE6537A1-D6FC-4f65-9D91-7224C49458BB}"/>
              </c:extLst>
            </c:dLbl>
            <c:dLbl>
              <c:idx val="20"/>
              <c:layout>
                <c:manualLayout>
                  <c:x val="-6.1845959595959593E-2"/>
                  <c:y val="2.22000222000222E-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3B89-4F20-88FF-FCD58169F18E}"/>
                </c:ext>
                <c:ext xmlns:c15="http://schemas.microsoft.com/office/drawing/2012/chart" uri="{CE6537A1-D6FC-4f65-9D91-7224C49458BB}"/>
              </c:extLst>
            </c:dLbl>
            <c:dLbl>
              <c:idx val="21"/>
              <c:layout>
                <c:manualLayout>
                  <c:x val="-6.7173881673881677E-2"/>
                  <c:y val="1.508214008214008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3B89-4F20-88FF-FCD58169F18E}"/>
                </c:ext>
                <c:ext xmlns:c15="http://schemas.microsoft.com/office/drawing/2012/chart" uri="{CE6537A1-D6FC-4f65-9D91-7224C49458BB}"/>
              </c:extLst>
            </c:dLbl>
            <c:dLbl>
              <c:idx val="22"/>
              <c:layout>
                <c:manualLayout>
                  <c:x val="-7.1757936507936507E-2"/>
                  <c:y val="3.526473526473558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3B89-4F20-88FF-FCD58169F18E}"/>
                </c:ext>
                <c:ext xmlns:c15="http://schemas.microsoft.com/office/drawing/2012/chart" uri="{CE6537A1-D6FC-4f65-9D91-7224C49458BB}"/>
              </c:extLst>
            </c:dLbl>
            <c:dLbl>
              <c:idx val="23"/>
              <c:layout>
                <c:manualLayout>
                  <c:x val="-7.0745343740751504E-2"/>
                  <c:y val="2.115072195145801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3B89-4F20-88FF-FCD58169F18E}"/>
                </c:ext>
                <c:ext xmlns:c15="http://schemas.microsoft.com/office/drawing/2012/chart" uri="{CE6537A1-D6FC-4f65-9D91-7224C49458BB}">
                  <c15:layout>
                    <c:manualLayout>
                      <c:w val="0.11004173570607433"/>
                      <c:h val="3.2050111009620831E-2"/>
                    </c:manualLayout>
                  </c15:layout>
                </c:ext>
              </c:extLst>
            </c:dLbl>
            <c:dLbl>
              <c:idx val="24"/>
              <c:layout>
                <c:manualLayout>
                  <c:x val="-7.5434704184704271E-2"/>
                  <c:y val="1.507381507381507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3B89-4F20-88FF-FCD58169F18E}"/>
                </c:ext>
                <c:ext xmlns:c15="http://schemas.microsoft.com/office/drawing/2012/chart" uri="{CE6537A1-D6FC-4f65-9D91-7224C49458BB}"/>
              </c:extLst>
            </c:dLbl>
            <c:dLbl>
              <c:idx val="25"/>
              <c:layout>
                <c:manualLayout>
                  <c:x val="-8.3509740259740339E-2"/>
                  <c:y val="1.505994005994038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3B89-4F20-88FF-FCD58169F18E}"/>
                </c:ext>
                <c:ext xmlns:c15="http://schemas.microsoft.com/office/drawing/2012/chart" uri="{CE6537A1-D6FC-4f65-9D91-7224C49458BB}"/>
              </c:extLst>
            </c:dLbl>
            <c:dLbl>
              <c:idx val="26"/>
              <c:layout>
                <c:manualLayout>
                  <c:x val="-8.809415584415585E-2"/>
                  <c:y val="1.505439005439037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3B89-4F20-88FF-FCD58169F18E}"/>
                </c:ext>
                <c:ext xmlns:c15="http://schemas.microsoft.com/office/drawing/2012/chart" uri="{CE6537A1-D6FC-4f65-9D91-7224C49458BB}"/>
              </c:extLst>
            </c:dLbl>
            <c:dLbl>
              <c:idx val="27"/>
              <c:layout>
                <c:manualLayout>
                  <c:x val="-9.195562770562779E-2"/>
                  <c:y val="3.012543012543044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3B89-4F20-88FF-FCD58169F18E}"/>
                </c:ext>
                <c:ext xmlns:c15="http://schemas.microsoft.com/office/drawing/2012/chart" uri="{CE6537A1-D6FC-4f65-9D91-7224C49458BB}"/>
              </c:extLst>
            </c:dLbl>
            <c:dLbl>
              <c:idx val="28"/>
              <c:layout>
                <c:manualLayout>
                  <c:x val="-9.5632395382395305E-2"/>
                  <c:y val="1.504884004884021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3B89-4F20-88FF-FCD58169F18E}"/>
                </c:ext>
                <c:ext xmlns:c15="http://schemas.microsoft.com/office/drawing/2012/chart" uri="{CE6537A1-D6FC-4f65-9D91-7224C49458BB}"/>
              </c:extLst>
            </c:dLbl>
            <c:dLbl>
              <c:idx val="29"/>
              <c:layout>
                <c:manualLayout>
                  <c:x val="-0.11453427128427128"/>
                  <c:y val="3.523698523698523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3B89-4F20-88FF-FCD58169F18E}"/>
                </c:ext>
                <c:ext xmlns:c15="http://schemas.microsoft.com/office/drawing/2012/chart" uri="{CE6537A1-D6FC-4f65-9D91-7224C49458BB}"/>
              </c:extLst>
            </c:dLbl>
            <c:dLbl>
              <c:idx val="30"/>
              <c:layout>
                <c:manualLayout>
                  <c:x val="-0.12756060606060607"/>
                  <c:y val="5.029415029415029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E-3B89-4F20-88FF-FCD58169F18E}"/>
                </c:ext>
                <c:ext xmlns:c15="http://schemas.microsoft.com/office/drawing/2012/chart" uri="{CE6537A1-D6FC-4f65-9D91-7224C49458BB}"/>
              </c:extLst>
            </c:dLbl>
            <c:dLbl>
              <c:idx val="31"/>
              <c:layout>
                <c:manualLayout>
                  <c:x val="-0.17796423171470735"/>
                  <c:y val="5.03199166149955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F-3B89-4F20-88FF-FCD58169F18E}"/>
                </c:ext>
                <c:ext xmlns:c15="http://schemas.microsoft.com/office/drawing/2012/chart" uri="{CE6537A1-D6FC-4f65-9D91-7224C49458BB}">
                  <c15:layout>
                    <c:manualLayout>
                      <c:w val="0.10386327561327562"/>
                      <c:h val="3.487262737262737E-2"/>
                    </c:manualLayout>
                  </c15:layout>
                </c:ext>
              </c:extLst>
            </c:dLbl>
            <c:numFmt formatCode="#,##0.00" sourceLinked="0"/>
            <c:spPr>
              <a:noFill/>
              <a:ln>
                <a:noFill/>
              </a:ln>
              <a:effectLst/>
            </c:spPr>
            <c:txPr>
              <a:bodyPr/>
              <a:lstStyle/>
              <a:p>
                <a:pPr>
                  <a:defRPr sz="600">
                    <a:latin typeface="Arial" pitchFamily="34" charset="0"/>
                    <a:cs typeface="Arial" pitchFamily="34" charset="0"/>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'Var-Ponderadas-al-Nal.'!$L$7:$L$38</c:f>
              <c:strCache>
                <c:ptCount val="32"/>
                <c:pt idx="0">
                  <c:v>Tabasco</c:v>
                </c:pt>
                <c:pt idx="1">
                  <c:v>Colima</c:v>
                </c:pt>
                <c:pt idx="2">
                  <c:v>Tlaxcala</c:v>
                </c:pt>
                <c:pt idx="3">
                  <c:v>Nayarit</c:v>
                </c:pt>
                <c:pt idx="4">
                  <c:v>Zacatecas</c:v>
                </c:pt>
                <c:pt idx="5">
                  <c:v>Chiapas</c:v>
                </c:pt>
                <c:pt idx="6">
                  <c:v>Durango</c:v>
                </c:pt>
                <c:pt idx="7">
                  <c:v>Oaxaca</c:v>
                </c:pt>
                <c:pt idx="8">
                  <c:v>Yucatán</c:v>
                </c:pt>
                <c:pt idx="9">
                  <c:v>Morelos</c:v>
                </c:pt>
                <c:pt idx="10">
                  <c:v>Campeche</c:v>
                </c:pt>
                <c:pt idx="11">
                  <c:v>Hidalgo</c:v>
                </c:pt>
                <c:pt idx="12">
                  <c:v>Guerrero</c:v>
                </c:pt>
                <c:pt idx="13">
                  <c:v>Aguascalientes</c:v>
                </c:pt>
                <c:pt idx="14">
                  <c:v>Michoacán de Ocampo</c:v>
                </c:pt>
                <c:pt idx="15">
                  <c:v>Sinaloa</c:v>
                </c:pt>
                <c:pt idx="16">
                  <c:v>Baja California Sur</c:v>
                </c:pt>
                <c:pt idx="17">
                  <c:v>San Luis Potosí</c:v>
                </c:pt>
                <c:pt idx="18">
                  <c:v>Tamaulipas</c:v>
                </c:pt>
                <c:pt idx="19">
                  <c:v>Sonora</c:v>
                </c:pt>
                <c:pt idx="20">
                  <c:v>Querétaro</c:v>
                </c:pt>
                <c:pt idx="21">
                  <c:v>Chihuahua</c:v>
                </c:pt>
                <c:pt idx="22">
                  <c:v>Baja California</c:v>
                </c:pt>
                <c:pt idx="23">
                  <c:v>Quintana Roo</c:v>
                </c:pt>
                <c:pt idx="24">
                  <c:v>Veracruz de Ignacio de la Llave</c:v>
                </c:pt>
                <c:pt idx="25">
                  <c:v>Guanajuato</c:v>
                </c:pt>
                <c:pt idx="26">
                  <c:v>Coahuila de Zaragoza</c:v>
                </c:pt>
                <c:pt idx="27">
                  <c:v>Puebla</c:v>
                </c:pt>
                <c:pt idx="28">
                  <c:v>Jalisco</c:v>
                </c:pt>
                <c:pt idx="29">
                  <c:v>México</c:v>
                </c:pt>
                <c:pt idx="30">
                  <c:v>Nuevo León</c:v>
                </c:pt>
                <c:pt idx="31">
                  <c:v>Ciudad de México</c:v>
                </c:pt>
              </c:strCache>
            </c:strRef>
          </c:cat>
          <c:val>
            <c:numRef>
              <c:f>'Var-Ponderadas-al-Nal.'!$M$7:$M$38</c:f>
              <c:numCache>
                <c:formatCode>0.00</c:formatCode>
                <c:ptCount val="32"/>
                <c:pt idx="0">
                  <c:v>2.9519892920540511E-2</c:v>
                </c:pt>
                <c:pt idx="1">
                  <c:v>-8.5718273689175783E-2</c:v>
                </c:pt>
                <c:pt idx="2">
                  <c:v>-0.14030026095103196</c:v>
                </c:pt>
                <c:pt idx="3">
                  <c:v>-0.16082370978818802</c:v>
                </c:pt>
                <c:pt idx="4">
                  <c:v>-0.1695856774443999</c:v>
                </c:pt>
                <c:pt idx="5">
                  <c:v>-0.18275597358232673</c:v>
                </c:pt>
                <c:pt idx="6">
                  <c:v>-0.18482647828132012</c:v>
                </c:pt>
                <c:pt idx="7">
                  <c:v>-0.25062501544825033</c:v>
                </c:pt>
                <c:pt idx="8">
                  <c:v>-0.25704212013295169</c:v>
                </c:pt>
                <c:pt idx="9">
                  <c:v>-0.26870827142462245</c:v>
                </c:pt>
                <c:pt idx="10">
                  <c:v>-0.2814830485360027</c:v>
                </c:pt>
                <c:pt idx="11">
                  <c:v>-0.28425766822811616</c:v>
                </c:pt>
                <c:pt idx="12">
                  <c:v>-0.29647934683968274</c:v>
                </c:pt>
                <c:pt idx="13">
                  <c:v>-0.2976279787305508</c:v>
                </c:pt>
                <c:pt idx="14">
                  <c:v>-0.33366446922249193</c:v>
                </c:pt>
                <c:pt idx="15">
                  <c:v>-0.33947391579651831</c:v>
                </c:pt>
                <c:pt idx="16">
                  <c:v>-0.39503335670143958</c:v>
                </c:pt>
                <c:pt idx="17">
                  <c:v>-0.47323648494197645</c:v>
                </c:pt>
                <c:pt idx="18">
                  <c:v>-0.47340546239985704</c:v>
                </c:pt>
                <c:pt idx="19">
                  <c:v>-0.4967487440227184</c:v>
                </c:pt>
                <c:pt idx="20">
                  <c:v>-0.52891562783680623</c:v>
                </c:pt>
                <c:pt idx="21">
                  <c:v>-0.55596066318171744</c:v>
                </c:pt>
                <c:pt idx="22">
                  <c:v>-0.61786996209131972</c:v>
                </c:pt>
                <c:pt idx="23">
                  <c:v>-0.66750022408120324</c:v>
                </c:pt>
                <c:pt idx="24">
                  <c:v>-0.74830540817265967</c:v>
                </c:pt>
                <c:pt idx="25">
                  <c:v>-0.91447309558831102</c:v>
                </c:pt>
                <c:pt idx="26">
                  <c:v>-0.92896820695948024</c:v>
                </c:pt>
                <c:pt idx="27">
                  <c:v>-1.0135444063651313</c:v>
                </c:pt>
                <c:pt idx="28">
                  <c:v>-1.0918073546950475</c:v>
                </c:pt>
                <c:pt idx="29">
                  <c:v>-1.5262395021125581</c:v>
                </c:pt>
                <c:pt idx="30">
                  <c:v>-1.7073228357854802</c:v>
                </c:pt>
                <c:pt idx="31">
                  <c:v>-2.8860063041492836</c:v>
                </c:pt>
              </c:numCache>
            </c:numRef>
          </c:val>
          <c:extLst xmlns:c16r2="http://schemas.microsoft.com/office/drawing/2015/06/chart">
            <c:ext xmlns:c16="http://schemas.microsoft.com/office/drawing/2014/chart" uri="{C3380CC4-5D6E-409C-BE32-E72D297353CC}">
              <c16:uniqueId val="{00000020-3B89-4F20-88FF-FCD58169F18E}"/>
            </c:ext>
          </c:extLst>
        </c:ser>
        <c:dLbls>
          <c:showLegendKey val="0"/>
          <c:showVal val="0"/>
          <c:showCatName val="0"/>
          <c:showSerName val="0"/>
          <c:showPercent val="0"/>
          <c:showBubbleSize val="0"/>
        </c:dLbls>
        <c:gapWidth val="31"/>
        <c:gapDepth val="48"/>
        <c:shape val="cylinder"/>
        <c:axId val="-350156320"/>
        <c:axId val="-350162304"/>
        <c:axId val="0"/>
      </c:bar3DChart>
      <c:catAx>
        <c:axId val="-350156320"/>
        <c:scaling>
          <c:orientation val="minMax"/>
        </c:scaling>
        <c:delete val="0"/>
        <c:axPos val="l"/>
        <c:numFmt formatCode="General" sourceLinked="0"/>
        <c:majorTickMark val="out"/>
        <c:minorTickMark val="none"/>
        <c:tickLblPos val="low"/>
        <c:txPr>
          <a:bodyPr/>
          <a:lstStyle/>
          <a:p>
            <a:pPr>
              <a:defRPr sz="550">
                <a:latin typeface="Arial" pitchFamily="34" charset="0"/>
                <a:cs typeface="Arial" pitchFamily="34" charset="0"/>
              </a:defRPr>
            </a:pPr>
            <a:endParaRPr lang="es-MX"/>
          </a:p>
        </c:txPr>
        <c:crossAx val="-350162304"/>
        <c:crosses val="autoZero"/>
        <c:auto val="1"/>
        <c:lblAlgn val="ctr"/>
        <c:lblOffset val="100"/>
        <c:noMultiLvlLbl val="0"/>
      </c:catAx>
      <c:valAx>
        <c:axId val="-350162304"/>
        <c:scaling>
          <c:orientation val="minMax"/>
          <c:max val="1"/>
          <c:min val="-4"/>
        </c:scaling>
        <c:delete val="0"/>
        <c:axPos val="b"/>
        <c:numFmt formatCode="#,##0.00" sourceLinked="0"/>
        <c:majorTickMark val="out"/>
        <c:minorTickMark val="none"/>
        <c:tickLblPos val="nextTo"/>
        <c:txPr>
          <a:bodyPr/>
          <a:lstStyle/>
          <a:p>
            <a:pPr>
              <a:defRPr sz="600">
                <a:latin typeface="Arial" pitchFamily="34" charset="0"/>
                <a:cs typeface="Arial" pitchFamily="34" charset="0"/>
              </a:defRPr>
            </a:pPr>
            <a:endParaRPr lang="es-MX"/>
          </a:p>
        </c:txPr>
        <c:crossAx val="-350156320"/>
        <c:crosses val="autoZero"/>
        <c:crossBetween val="between"/>
        <c:majorUnit val="1"/>
      </c:valAx>
    </c:plotArea>
    <c:plotVisOnly val="1"/>
    <c:dispBlanksAs val="gap"/>
    <c:showDLblsOverMax val="0"/>
  </c:chart>
  <c:spPr>
    <a:noFill/>
    <a:effectLst>
      <a:outerShdw blurRad="50800" dist="12700" dir="5400000" algn="ctr" rotWithShape="0">
        <a:srgbClr val="000000"/>
      </a:outerShdw>
    </a:effectLst>
  </c:spPr>
  <c:externalData r:id="rId1">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o" ma:contentTypeID="0x010100E45A2171FFF7404AAC42E919B6B08B78" ma:contentTypeVersion="18" ma:contentTypeDescription="Crear nuevo documento." ma:contentTypeScope="" ma:versionID="da235bb73339d8d6b69055fbf79a6b38">
  <xsd:schema xmlns:xsd="http://www.w3.org/2001/XMLSchema" xmlns:p="http://schemas.microsoft.com/office/2006/metadata/properties" xmlns:ns1="http://schemas.microsoft.com/sharepoint/v3" xmlns:ns2="70446183-434a-417e-bd54-278a42f2ca14" targetNamespace="http://schemas.microsoft.com/office/2006/metadata/properties" ma:root="true" ma:fieldsID="3500b46528650ea29a60ac529ae3e033" ns1:_="" ns2:_="">
    <xsd:import namespace="http://schemas.microsoft.com/sharepoint/v3"/>
    <xsd:import namespace="70446183-434a-417e-bd54-278a42f2ca14"/>
    <xsd:element name="properties">
      <xsd:complexType>
        <xsd:sequence>
          <xsd:element name="documentManagement">
            <xsd:complexType>
              <xsd:all>
                <xsd:element ref="ns2:Estatus"/>
                <xsd:element ref="ns2:Formato_x0020_de_x0020_archivo"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6" nillable="true" ma:displayName="Fecha de inicio programada" ma:description="" ma:hidden="true" ma:internalName="PublishingStartDate">
      <xsd:simpleType>
        <xsd:restriction base="dms:Unknown"/>
      </xsd:simpleType>
    </xsd:element>
    <xsd:element name="PublishingExpirationDate" ma:index="7" nillable="true" ma:displayName="Fecha de finalización programada" ma:description="" ma:hidden="true" ma:internalName="PublishingExpirationDate">
      <xsd:simpleType>
        <xsd:restriction base="dms:Unknown"/>
      </xsd:simpleType>
    </xsd:element>
  </xsd:schema>
  <xsd:schema xmlns:xsd="http://www.w3.org/2001/XMLSchema" xmlns:dms="http://schemas.microsoft.com/office/2006/documentManagement/types" targetNamespace="70446183-434a-417e-bd54-278a42f2ca14" elementFormDefault="qualified">
    <xsd:import namespace="http://schemas.microsoft.com/office/2006/documentManagement/types"/>
    <xsd:element name="Estatus" ma:index="2" ma:displayName="Estatus" ma:default="Versión inicial" ma:format="Dropdown" ma:internalName="Estatus">
      <xsd:simpleType>
        <xsd:restriction base="dms:Choice">
          <xsd:enumeration value="Versión inicial"/>
          <xsd:enumeration value="Versión con revisión"/>
          <xsd:enumeration value="Versión definitiva"/>
        </xsd:restriction>
      </xsd:simpleType>
    </xsd:element>
    <xsd:element name="Formato_x0020_de_x0020_archivo" ma:index="3" nillable="true" ma:displayName="Formato de archivo" ma:default="pdf" ma:format="Dropdown" ma:internalName="Formato_x0020_de_x0020_archivo">
      <xsd:simpleType>
        <xsd:restriction base="dms:Choice">
          <xsd:enumeration value="pdf"/>
          <xsd:enumeration value="xls"/>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status xmlns="70446183-434a-417e-bd54-278a42f2ca14">Versión inicial</Estatus>
    <PublishingExpirationDate xmlns="http://schemas.microsoft.com/sharepoint/v3" xsi:nil="true"/>
    <Formato_x0020_de_x0020_archivo xmlns="70446183-434a-417e-bd54-278a42f2ca14">doc</Formato_x0020_de_x0020_archivo>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FD0DE-55E4-4B25-BDA1-B37C3944B92C}">
  <ds:schemaRefs>
    <ds:schemaRef ds:uri="http://schemas.microsoft.com/office/2006/metadata/customXsn"/>
  </ds:schemaRefs>
</ds:datastoreItem>
</file>

<file path=customXml/itemProps2.xml><?xml version="1.0" encoding="utf-8"?>
<ds:datastoreItem xmlns:ds="http://schemas.openxmlformats.org/officeDocument/2006/customXml" ds:itemID="{25DABEFF-2AAC-4E0B-AC13-C5CC33121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46183-434a-417e-bd54-278a42f2ca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A4CD687-4E6D-48A2-AEF5-DCF9FCC99B99}">
  <ds:schemaRefs>
    <ds:schemaRef ds:uri="http://schemas.microsoft.com/office/2006/metadata/properties"/>
    <ds:schemaRef ds:uri="http://schemas.microsoft.com/office/infopath/2007/PartnerControls"/>
    <ds:schemaRef ds:uri="70446183-434a-417e-bd54-278a42f2ca14"/>
    <ds:schemaRef ds:uri="http://schemas.microsoft.com/sharepoint/v3"/>
  </ds:schemaRefs>
</ds:datastoreItem>
</file>

<file path=customXml/itemProps4.xml><?xml version="1.0" encoding="utf-8"?>
<ds:datastoreItem xmlns:ds="http://schemas.openxmlformats.org/officeDocument/2006/customXml" ds:itemID="{72346E0F-A42C-4397-B26B-2F57B8188D74}">
  <ds:schemaRefs>
    <ds:schemaRef ds:uri="http://schemas.microsoft.com/sharepoint/v3/contenttype/forms"/>
  </ds:schemaRefs>
</ds:datastoreItem>
</file>

<file path=customXml/itemProps5.xml><?xml version="1.0" encoding="utf-8"?>
<ds:datastoreItem xmlns:ds="http://schemas.openxmlformats.org/officeDocument/2006/customXml" ds:itemID="{5136CDC0-F85C-4888-AA2C-C014C9FA4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34</Pages>
  <Words>8306</Words>
  <Characters>45689</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HIFM</dc:creator>
  <cp:keywords/>
  <cp:lastModifiedBy>Flores Munguia, Hugo Israel</cp:lastModifiedBy>
  <cp:revision>92</cp:revision>
  <cp:lastPrinted>2020-02-25T02:17:00Z</cp:lastPrinted>
  <dcterms:created xsi:type="dcterms:W3CDTF">2020-02-24T22:19:00Z</dcterms:created>
  <dcterms:modified xsi:type="dcterms:W3CDTF">2021-02-25T03:02:00Z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0x010100E45A2171FFF7404AAC42E919B6B08B78</vt:lpwstr>
  </property>
  <property fmtid="{D5CDD505-2E9C-101B-9397-08002B2CF9AE}" pid="3" name="Estatus">
    <vt:lpwstr>Versión inicial</vt:lpwstr>
  </property>
  <property fmtid="{D5CDD505-2E9C-101B-9397-08002B2CF9AE}" pid="4" name="PublishingExpirationDate">
    <vt:lpwstr/>
  </property>
  <property fmtid="{D5CDD505-2E9C-101B-9397-08002B2CF9AE}" pid="5" name="Formato de archivo">
    <vt:lpwstr>doc</vt:lpwstr>
  </property>
  <property fmtid="{D5CDD505-2E9C-101B-9397-08002B2CF9AE}" pid="6" name="PublishingStartDate">
    <vt:lpwstr/>
  </property>
</Properties>
</file>