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DE" w:rsidRDefault="00D138CC" w:rsidP="007B467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bookmarkStart w:id="0" w:name="_GoBack"/>
      <w:bookmarkEnd w:id="0"/>
      <w:r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7B4672">
        <w:rPr>
          <w:rFonts w:ascii="Arial" w:eastAsia="Calibri" w:hAnsi="Arial" w:cs="Arial"/>
          <w:b/>
          <w:spacing w:val="-1"/>
          <w:sz w:val="17"/>
          <w:szCs w:val="17"/>
        </w:rPr>
        <w:t>PANORAMA ECONÓMICO</w:t>
      </w:r>
    </w:p>
    <w:p w:rsidR="007B4672" w:rsidRPr="007B4672" w:rsidRDefault="007B4672" w:rsidP="007B467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4C66A7" w:rsidRDefault="004C66A7" w:rsidP="00AA10DE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A10DE" w:rsidRPr="00A46EB4" w:rsidRDefault="00AA10DE" w:rsidP="00A46EB4">
      <w:pPr>
        <w:autoSpaceDE w:val="0"/>
        <w:autoSpaceDN w:val="0"/>
        <w:adjustRightInd w:val="0"/>
        <w:spacing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A46EB4">
        <w:rPr>
          <w:rFonts w:ascii="Arial" w:eastAsia="Calibri" w:hAnsi="Arial" w:cs="Arial"/>
          <w:spacing w:val="-1"/>
          <w:sz w:val="17"/>
          <w:szCs w:val="17"/>
        </w:rPr>
        <w:t>Las finanzas públicas sanas son un principio de buen gobierno porque aseguran el desarrollo de la Entidad, bajo esta premisa, las expectativa</w:t>
      </w:r>
      <w:r w:rsidR="00A7040D" w:rsidRPr="00A46EB4">
        <w:rPr>
          <w:rFonts w:ascii="Arial" w:eastAsia="Calibri" w:hAnsi="Arial" w:cs="Arial"/>
          <w:spacing w:val="-1"/>
          <w:sz w:val="17"/>
          <w:szCs w:val="17"/>
        </w:rPr>
        <w:t>s económicas para 2020</w:t>
      </w:r>
      <w:r w:rsidRPr="00A46EB4">
        <w:rPr>
          <w:rFonts w:ascii="Arial" w:eastAsia="Calibri" w:hAnsi="Arial" w:cs="Arial"/>
          <w:spacing w:val="-1"/>
          <w:sz w:val="17"/>
          <w:szCs w:val="17"/>
        </w:rPr>
        <w:t xml:space="preserve"> estimaron un crecimiento del </w:t>
      </w:r>
      <w:r w:rsidR="002739FA" w:rsidRPr="00A46EB4">
        <w:rPr>
          <w:rFonts w:ascii="Arial" w:eastAsia="Calibri" w:hAnsi="Arial" w:cs="Arial"/>
          <w:spacing w:val="-1"/>
          <w:sz w:val="17"/>
          <w:szCs w:val="17"/>
        </w:rPr>
        <w:t xml:space="preserve">Producto Interno Bruto (PIB) </w:t>
      </w:r>
      <w:r w:rsidR="00A7040D" w:rsidRPr="00A46EB4">
        <w:rPr>
          <w:rFonts w:ascii="Arial" w:eastAsia="Calibri" w:hAnsi="Arial" w:cs="Arial"/>
          <w:spacing w:val="-1"/>
          <w:sz w:val="17"/>
          <w:szCs w:val="17"/>
        </w:rPr>
        <w:t>entre 1</w:t>
      </w:r>
      <w:r w:rsidR="00A15C35" w:rsidRPr="00A46EB4">
        <w:rPr>
          <w:rFonts w:ascii="Arial" w:eastAsia="Calibri" w:hAnsi="Arial" w:cs="Arial"/>
          <w:spacing w:val="-1"/>
          <w:sz w:val="17"/>
          <w:szCs w:val="17"/>
        </w:rPr>
        <w:t>.5</w:t>
      </w:r>
      <w:r w:rsidR="009C58B3" w:rsidRPr="00A46EB4">
        <w:rPr>
          <w:rFonts w:ascii="Arial" w:eastAsia="Calibri" w:hAnsi="Arial" w:cs="Arial"/>
          <w:spacing w:val="-1"/>
          <w:sz w:val="17"/>
          <w:szCs w:val="17"/>
        </w:rPr>
        <w:t xml:space="preserve">% </w:t>
      </w:r>
      <w:r w:rsidR="00DB6BF6" w:rsidRPr="00A46EB4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A7040D" w:rsidRPr="00A46EB4">
        <w:rPr>
          <w:rFonts w:ascii="Arial" w:eastAsia="Calibri" w:hAnsi="Arial" w:cs="Arial"/>
          <w:spacing w:val="-1"/>
          <w:sz w:val="17"/>
          <w:szCs w:val="17"/>
        </w:rPr>
        <w:t>2</w:t>
      </w:r>
      <w:r w:rsidR="00A15C35" w:rsidRPr="00A46EB4">
        <w:rPr>
          <w:rFonts w:ascii="Arial" w:eastAsia="Calibri" w:hAnsi="Arial" w:cs="Arial"/>
          <w:spacing w:val="-1"/>
          <w:sz w:val="17"/>
          <w:szCs w:val="17"/>
        </w:rPr>
        <w:t>.5</w:t>
      </w:r>
      <w:r w:rsidRPr="00A46EB4">
        <w:rPr>
          <w:rFonts w:ascii="Arial" w:eastAsia="Calibri" w:hAnsi="Arial" w:cs="Arial"/>
          <w:spacing w:val="-1"/>
          <w:sz w:val="17"/>
          <w:szCs w:val="17"/>
        </w:rPr>
        <w:t>% y una inflación de</w:t>
      </w:r>
      <w:r w:rsidR="004B253E" w:rsidRPr="00A46EB4">
        <w:rPr>
          <w:rFonts w:ascii="Arial" w:eastAsia="Calibri" w:hAnsi="Arial" w:cs="Arial"/>
          <w:spacing w:val="-1"/>
          <w:sz w:val="17"/>
          <w:szCs w:val="17"/>
        </w:rPr>
        <w:t>l</w:t>
      </w:r>
      <w:r w:rsidRPr="00A46EB4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A15C35" w:rsidRPr="00A46EB4">
        <w:rPr>
          <w:rFonts w:ascii="Arial" w:eastAsia="Calibri" w:hAnsi="Arial" w:cs="Arial"/>
          <w:spacing w:val="-1"/>
          <w:sz w:val="17"/>
          <w:szCs w:val="17"/>
        </w:rPr>
        <w:t>3</w:t>
      </w:r>
      <w:r w:rsidRPr="00A46EB4">
        <w:rPr>
          <w:rFonts w:ascii="Arial" w:eastAsia="Calibri" w:hAnsi="Arial" w:cs="Arial"/>
          <w:spacing w:val="-1"/>
          <w:sz w:val="17"/>
          <w:szCs w:val="17"/>
        </w:rPr>
        <w:t>%. Asimismo, el precio de la mezcla mexicana de exportación d</w:t>
      </w:r>
      <w:r w:rsidR="00A15C35" w:rsidRPr="00A46EB4">
        <w:rPr>
          <w:rFonts w:ascii="Arial" w:eastAsia="Calibri" w:hAnsi="Arial" w:cs="Arial"/>
          <w:spacing w:val="-1"/>
          <w:sz w:val="17"/>
          <w:szCs w:val="17"/>
        </w:rPr>
        <w:t xml:space="preserve">e petróleo crudo se estimó en </w:t>
      </w:r>
      <w:r w:rsidR="00A7040D" w:rsidRPr="00A46EB4">
        <w:rPr>
          <w:rFonts w:ascii="Arial" w:eastAsia="Calibri" w:hAnsi="Arial" w:cs="Arial"/>
          <w:spacing w:val="-1"/>
          <w:sz w:val="17"/>
          <w:szCs w:val="17"/>
        </w:rPr>
        <w:t>49</w:t>
      </w:r>
      <w:r w:rsidR="00407227" w:rsidRPr="00A46EB4">
        <w:rPr>
          <w:rFonts w:ascii="Arial" w:eastAsia="Calibri" w:hAnsi="Arial" w:cs="Arial"/>
          <w:spacing w:val="-1"/>
          <w:sz w:val="17"/>
          <w:szCs w:val="17"/>
        </w:rPr>
        <w:t xml:space="preserve"> dólares por barril</w:t>
      </w:r>
      <w:r w:rsidR="008340D8" w:rsidRPr="00A46EB4">
        <w:rPr>
          <w:rFonts w:ascii="Arial" w:eastAsia="Calibri" w:hAnsi="Arial" w:cs="Arial"/>
          <w:spacing w:val="-1"/>
          <w:sz w:val="17"/>
          <w:szCs w:val="17"/>
        </w:rPr>
        <w:t xml:space="preserve"> y el tipo de cambio a $</w:t>
      </w:r>
      <w:r w:rsidR="005754C1" w:rsidRPr="00A46EB4">
        <w:rPr>
          <w:rFonts w:ascii="Arial" w:eastAsia="Calibri" w:hAnsi="Arial" w:cs="Arial"/>
          <w:spacing w:val="-1"/>
          <w:sz w:val="17"/>
          <w:szCs w:val="17"/>
        </w:rPr>
        <w:t>20</w:t>
      </w:r>
      <w:r w:rsidR="00A01C61" w:rsidRPr="00A46EB4">
        <w:rPr>
          <w:rFonts w:ascii="Arial" w:eastAsia="Calibri" w:hAnsi="Arial" w:cs="Arial"/>
          <w:spacing w:val="-1"/>
          <w:sz w:val="17"/>
          <w:szCs w:val="17"/>
        </w:rPr>
        <w:t xml:space="preserve"> por dólar.</w:t>
      </w:r>
    </w:p>
    <w:p w:rsidR="00AA10DE" w:rsidRPr="00A46EB4" w:rsidRDefault="00AA10DE" w:rsidP="00AA10DE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FC3199" w:rsidRPr="00A46EB4" w:rsidRDefault="00AA10DE" w:rsidP="00A46EB4">
      <w:pPr>
        <w:autoSpaceDE w:val="0"/>
        <w:autoSpaceDN w:val="0"/>
        <w:adjustRightInd w:val="0"/>
        <w:spacing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A46EB4">
        <w:rPr>
          <w:rFonts w:ascii="Arial" w:eastAsia="Calibri" w:hAnsi="Arial" w:cs="Arial"/>
          <w:spacing w:val="-1"/>
          <w:sz w:val="17"/>
          <w:szCs w:val="17"/>
        </w:rPr>
        <w:t xml:space="preserve">Cabe señalar </w:t>
      </w:r>
      <w:r w:rsidR="00A7040D" w:rsidRPr="00A46EB4">
        <w:rPr>
          <w:rFonts w:ascii="Arial" w:eastAsia="Calibri" w:hAnsi="Arial" w:cs="Arial"/>
          <w:spacing w:val="-1"/>
          <w:sz w:val="17"/>
          <w:szCs w:val="17"/>
        </w:rPr>
        <w:t>que al cierre del ejercicio 2020</w:t>
      </w:r>
      <w:r w:rsidRPr="00A46EB4">
        <w:rPr>
          <w:rFonts w:ascii="Arial" w:eastAsia="Calibri" w:hAnsi="Arial" w:cs="Arial"/>
          <w:spacing w:val="-1"/>
          <w:sz w:val="17"/>
          <w:szCs w:val="17"/>
        </w:rPr>
        <w:t>, de acuerdo a cifras publicadas por el Banco de México</w:t>
      </w:r>
      <w:r w:rsidR="006A4C14" w:rsidRPr="00A46EB4">
        <w:rPr>
          <w:rFonts w:ascii="Arial" w:eastAsia="Calibri" w:hAnsi="Arial" w:cs="Arial"/>
          <w:spacing w:val="-1"/>
          <w:sz w:val="17"/>
          <w:szCs w:val="17"/>
        </w:rPr>
        <w:t xml:space="preserve"> (Banxico)</w:t>
      </w:r>
      <w:r w:rsidR="00521453" w:rsidRPr="00A46EB4">
        <w:rPr>
          <w:rFonts w:ascii="Arial" w:eastAsia="Calibri" w:hAnsi="Arial" w:cs="Arial"/>
          <w:spacing w:val="-1"/>
          <w:sz w:val="17"/>
          <w:szCs w:val="17"/>
        </w:rPr>
        <w:t xml:space="preserve"> en su portal de internet</w:t>
      </w:r>
      <w:r w:rsidRPr="00A46EB4">
        <w:rPr>
          <w:rFonts w:ascii="Arial" w:eastAsia="Calibri" w:hAnsi="Arial" w:cs="Arial"/>
          <w:spacing w:val="-1"/>
          <w:sz w:val="17"/>
          <w:szCs w:val="17"/>
        </w:rPr>
        <w:t xml:space="preserve">, la inflación acumulada </w:t>
      </w:r>
      <w:r w:rsidR="005754C1" w:rsidRPr="00A46EB4">
        <w:rPr>
          <w:rFonts w:ascii="Arial" w:eastAsia="Calibri" w:hAnsi="Arial" w:cs="Arial"/>
          <w:spacing w:val="-1"/>
          <w:sz w:val="17"/>
          <w:szCs w:val="17"/>
        </w:rPr>
        <w:t>anual a diciembre del 2020</w:t>
      </w:r>
      <w:r w:rsidR="00E76FD5" w:rsidRPr="00A46EB4">
        <w:rPr>
          <w:rFonts w:ascii="Arial" w:eastAsia="Calibri" w:hAnsi="Arial" w:cs="Arial"/>
          <w:spacing w:val="-1"/>
          <w:sz w:val="17"/>
          <w:szCs w:val="17"/>
        </w:rPr>
        <w:t xml:space="preserve"> fue de </w:t>
      </w:r>
      <w:r w:rsidR="005754C1" w:rsidRPr="00A46EB4">
        <w:rPr>
          <w:rFonts w:ascii="Arial" w:eastAsia="Calibri" w:hAnsi="Arial" w:cs="Arial"/>
          <w:spacing w:val="-1"/>
          <w:sz w:val="17"/>
          <w:szCs w:val="17"/>
        </w:rPr>
        <w:t>3.15</w:t>
      </w:r>
      <w:r w:rsidR="00195546" w:rsidRPr="00A46EB4">
        <w:rPr>
          <w:rFonts w:ascii="Arial" w:eastAsia="Calibri" w:hAnsi="Arial" w:cs="Arial"/>
          <w:spacing w:val="-1"/>
          <w:sz w:val="17"/>
          <w:szCs w:val="17"/>
        </w:rPr>
        <w:t xml:space="preserve">% </w:t>
      </w:r>
      <w:r w:rsidR="00521453" w:rsidRPr="00A46EB4">
        <w:rPr>
          <w:rFonts w:ascii="Arial" w:eastAsia="Calibri" w:hAnsi="Arial" w:cs="Arial"/>
          <w:spacing w:val="-1"/>
          <w:sz w:val="17"/>
          <w:szCs w:val="17"/>
        </w:rPr>
        <w:t xml:space="preserve">y el tipo de cambio FIX cerró en diciembre </w:t>
      </w:r>
      <w:r w:rsidR="00195546" w:rsidRPr="00A46EB4">
        <w:rPr>
          <w:rFonts w:ascii="Arial" w:eastAsia="Calibri" w:hAnsi="Arial" w:cs="Arial"/>
          <w:spacing w:val="-1"/>
          <w:sz w:val="17"/>
          <w:szCs w:val="17"/>
        </w:rPr>
        <w:t xml:space="preserve">en </w:t>
      </w:r>
      <w:r w:rsidR="00521453" w:rsidRPr="00A46EB4">
        <w:rPr>
          <w:rFonts w:ascii="Arial" w:eastAsia="Calibri" w:hAnsi="Arial" w:cs="Arial"/>
          <w:spacing w:val="-1"/>
          <w:sz w:val="17"/>
          <w:szCs w:val="17"/>
        </w:rPr>
        <w:t>$</w:t>
      </w:r>
      <w:r w:rsidR="005754C1" w:rsidRPr="00A46EB4">
        <w:rPr>
          <w:rFonts w:ascii="Arial" w:eastAsia="Calibri" w:hAnsi="Arial" w:cs="Arial"/>
          <w:spacing w:val="-1"/>
          <w:sz w:val="17"/>
          <w:szCs w:val="17"/>
        </w:rPr>
        <w:t>19.9087</w:t>
      </w:r>
    </w:p>
    <w:p w:rsidR="00A46EB4" w:rsidRPr="009A23C7" w:rsidRDefault="00A46EB4" w:rsidP="00A46EB4">
      <w:p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9A23C7">
        <w:rPr>
          <w:rFonts w:ascii="Arial" w:eastAsia="Calibri" w:hAnsi="Arial" w:cs="Arial"/>
          <w:spacing w:val="-1"/>
          <w:sz w:val="17"/>
          <w:szCs w:val="17"/>
        </w:rPr>
        <w:t>Según el último informe trimestral del Banco de México (BA</w:t>
      </w:r>
      <w:r>
        <w:rPr>
          <w:rFonts w:ascii="Arial" w:eastAsia="Calibri" w:hAnsi="Arial" w:cs="Arial"/>
          <w:spacing w:val="-1"/>
          <w:sz w:val="17"/>
          <w:szCs w:val="17"/>
        </w:rPr>
        <w:t>NXICO) correspondiente al tercer trimestre de 2020 (3T-2020) emitido el pasado 25</w:t>
      </w:r>
      <w:r w:rsidRPr="009A23C7">
        <w:rPr>
          <w:rFonts w:ascii="Arial" w:eastAsia="Calibri" w:hAnsi="Arial" w:cs="Arial"/>
          <w:spacing w:val="-1"/>
          <w:sz w:val="17"/>
          <w:szCs w:val="17"/>
        </w:rPr>
        <w:t xml:space="preserve"> de </w:t>
      </w:r>
      <w:r>
        <w:rPr>
          <w:rFonts w:ascii="Arial" w:eastAsia="Calibri" w:hAnsi="Arial" w:cs="Arial"/>
          <w:spacing w:val="-1"/>
          <w:sz w:val="17"/>
          <w:szCs w:val="17"/>
        </w:rPr>
        <w:t>noviembre</w:t>
      </w:r>
      <w:r w:rsidRPr="009A23C7">
        <w:rPr>
          <w:rFonts w:ascii="Arial" w:eastAsia="Calibri" w:hAnsi="Arial" w:cs="Arial"/>
          <w:spacing w:val="-1"/>
          <w:sz w:val="17"/>
          <w:szCs w:val="17"/>
        </w:rPr>
        <w:t xml:space="preserve"> de 2020, señala de manera general que el Entorno Económico y Financiero es el siguiente:</w:t>
      </w:r>
    </w:p>
    <w:p w:rsidR="00A46EB4" w:rsidRPr="00DA7696" w:rsidRDefault="00A46EB4" w:rsidP="00F11EAE">
      <w:pPr>
        <w:pStyle w:val="Prrafodelista"/>
        <w:numPr>
          <w:ilvl w:val="0"/>
          <w:numId w:val="9"/>
        </w:numPr>
        <w:rPr>
          <w:rFonts w:ascii="Arial" w:eastAsia="Calibri" w:hAnsi="Arial" w:cs="Arial"/>
          <w:spacing w:val="-1"/>
          <w:sz w:val="17"/>
          <w:szCs w:val="17"/>
        </w:rPr>
      </w:pPr>
      <w:r w:rsidRPr="00DA7696">
        <w:rPr>
          <w:rFonts w:ascii="Arial" w:eastAsia="Calibri" w:hAnsi="Arial" w:cs="Arial"/>
          <w:spacing w:val="-1"/>
          <w:sz w:val="17"/>
          <w:szCs w:val="17"/>
        </w:rPr>
        <w:t>La pandemia del COVID-19 implicó choques que afectaron a todos los países de manera generalizada, con repercusiones en la actividad económica, la inflación y las condiciones financieras globales.</w:t>
      </w:r>
    </w:p>
    <w:p w:rsidR="00A46EB4" w:rsidRPr="00DA7696" w:rsidRDefault="00A46EB4" w:rsidP="00F11EAE">
      <w:pPr>
        <w:pStyle w:val="Prrafodelista"/>
        <w:numPr>
          <w:ilvl w:val="0"/>
          <w:numId w:val="9"/>
        </w:numPr>
        <w:rPr>
          <w:rFonts w:ascii="Arial" w:eastAsia="Calibri" w:hAnsi="Arial" w:cs="Arial"/>
          <w:spacing w:val="-1"/>
          <w:sz w:val="17"/>
          <w:szCs w:val="17"/>
        </w:rPr>
      </w:pPr>
      <w:r w:rsidRPr="00DA7696">
        <w:rPr>
          <w:rFonts w:ascii="Arial" w:eastAsia="Calibri" w:hAnsi="Arial" w:cs="Arial"/>
          <w:spacing w:val="-1"/>
          <w:sz w:val="17"/>
          <w:szCs w:val="17"/>
        </w:rPr>
        <w:t>Después de una severa contracción en el segundo trimestre, en el tercero comenzó una recuperación, principalmente ante la reapertura de diversas actividades productivas. No obstante,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se menciona que persistirá</w:t>
      </w:r>
      <w:r w:rsidRPr="00DA7696">
        <w:rPr>
          <w:rFonts w:ascii="Arial" w:eastAsia="Calibri" w:hAnsi="Arial" w:cs="Arial"/>
          <w:spacing w:val="-1"/>
          <w:sz w:val="17"/>
          <w:szCs w:val="17"/>
        </w:rPr>
        <w:t xml:space="preserve"> una elevada incertidumbre sobre el ritmo de la recuperación en los próximos trimestres.</w:t>
      </w:r>
    </w:p>
    <w:p w:rsidR="00A46EB4" w:rsidRPr="00DA7696" w:rsidRDefault="00A46EB4" w:rsidP="00F11EAE">
      <w:pPr>
        <w:pStyle w:val="Prrafodelista"/>
        <w:numPr>
          <w:ilvl w:val="0"/>
          <w:numId w:val="9"/>
        </w:numPr>
        <w:rPr>
          <w:rFonts w:ascii="Arial" w:eastAsia="Calibri" w:hAnsi="Arial" w:cs="Arial"/>
          <w:spacing w:val="-1"/>
          <w:sz w:val="17"/>
          <w:szCs w:val="17"/>
        </w:rPr>
      </w:pPr>
      <w:r w:rsidRPr="00DA7696">
        <w:rPr>
          <w:rFonts w:ascii="Arial" w:eastAsia="Calibri" w:hAnsi="Arial" w:cs="Arial"/>
          <w:spacing w:val="-1"/>
          <w:sz w:val="17"/>
          <w:szCs w:val="17"/>
        </w:rPr>
        <w:t>Este contexto presenta retos significativos para la recuperación de la economía mexicana, el mercado laboral y para el sistema financiero.</w:t>
      </w:r>
    </w:p>
    <w:p w:rsidR="00A46EB4" w:rsidRDefault="00A46EB4" w:rsidP="00F11EAE">
      <w:pPr>
        <w:pStyle w:val="Prrafodelista"/>
        <w:numPr>
          <w:ilvl w:val="0"/>
          <w:numId w:val="9"/>
        </w:numPr>
        <w:rPr>
          <w:rFonts w:ascii="Arial" w:eastAsia="Calibri" w:hAnsi="Arial" w:cs="Arial"/>
          <w:spacing w:val="-1"/>
          <w:sz w:val="17"/>
          <w:szCs w:val="17"/>
        </w:rPr>
      </w:pPr>
      <w:r w:rsidRPr="00DA7696">
        <w:rPr>
          <w:rFonts w:ascii="Arial" w:eastAsia="Calibri" w:hAnsi="Arial" w:cs="Arial"/>
          <w:spacing w:val="-1"/>
          <w:sz w:val="17"/>
          <w:szCs w:val="17"/>
        </w:rPr>
        <w:t>El Banco de México ha buscado conducir la política monetaria para propiciar un ajuste ordenado de los mercados nacionales y la economía en su conjunto, y así mantener el poder adquisitivo de la moneda nacional.</w:t>
      </w:r>
    </w:p>
    <w:p w:rsidR="00A46EB4" w:rsidRDefault="00A46EB4" w:rsidP="00A46EB4">
      <w:p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9A23C7">
        <w:rPr>
          <w:rFonts w:ascii="Arial" w:eastAsia="Calibri" w:hAnsi="Arial" w:cs="Arial"/>
          <w:spacing w:val="-1"/>
          <w:sz w:val="17"/>
          <w:szCs w:val="17"/>
        </w:rPr>
        <w:t xml:space="preserve">En el tema de las condiciones externas </w:t>
      </w:r>
      <w:r>
        <w:rPr>
          <w:rFonts w:ascii="Arial" w:eastAsia="Calibri" w:hAnsi="Arial" w:cs="Arial"/>
          <w:spacing w:val="-1"/>
          <w:sz w:val="17"/>
          <w:szCs w:val="17"/>
        </w:rPr>
        <w:t>se informa por parte de BANXICO que l</w:t>
      </w:r>
      <w:r w:rsidRPr="00922E34">
        <w:rPr>
          <w:rFonts w:ascii="Arial" w:eastAsia="Calibri" w:hAnsi="Arial" w:cs="Arial"/>
          <w:spacing w:val="-1"/>
          <w:sz w:val="17"/>
          <w:szCs w:val="17"/>
        </w:rPr>
        <w:t>a actividad económica mundial se ha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ido</w:t>
      </w:r>
      <w:r w:rsidRPr="00922E34">
        <w:rPr>
          <w:rFonts w:ascii="Arial" w:eastAsia="Calibri" w:hAnsi="Arial" w:cs="Arial"/>
          <w:spacing w:val="-1"/>
          <w:sz w:val="17"/>
          <w:szCs w:val="17"/>
        </w:rPr>
        <w:t xml:space="preserve"> recupera</w:t>
      </w:r>
      <w:r>
        <w:rPr>
          <w:rFonts w:ascii="Arial" w:eastAsia="Calibri" w:hAnsi="Arial" w:cs="Arial"/>
          <w:spacing w:val="-1"/>
          <w:sz w:val="17"/>
          <w:szCs w:val="17"/>
        </w:rPr>
        <w:t>n</w:t>
      </w:r>
      <w:r w:rsidRPr="00922E34">
        <w:rPr>
          <w:rFonts w:ascii="Arial" w:eastAsia="Calibri" w:hAnsi="Arial" w:cs="Arial"/>
          <w:spacing w:val="-1"/>
          <w:sz w:val="17"/>
          <w:szCs w:val="17"/>
        </w:rPr>
        <w:t xml:space="preserve">do, de manera heterogénea entre países y su ritmo se ha 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ido </w:t>
      </w:r>
      <w:r w:rsidRPr="00922E34">
        <w:rPr>
          <w:rFonts w:ascii="Arial" w:eastAsia="Calibri" w:hAnsi="Arial" w:cs="Arial"/>
          <w:spacing w:val="-1"/>
          <w:sz w:val="17"/>
          <w:szCs w:val="17"/>
        </w:rPr>
        <w:t>moderado desde julio. No obstante, aún no se alcanzan los niveles previos a la pandemia y persisten riesgos.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877BA6">
        <w:rPr>
          <w:rFonts w:ascii="Arial" w:eastAsia="Calibri" w:hAnsi="Arial" w:cs="Arial"/>
          <w:spacing w:val="-1"/>
          <w:sz w:val="17"/>
          <w:szCs w:val="17"/>
        </w:rPr>
        <w:t>A pesar de la recuperación se sigue anticipando una fuerte contracción del PIB para 2020 y una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877BA6">
        <w:rPr>
          <w:rFonts w:ascii="Arial" w:eastAsia="Calibri" w:hAnsi="Arial" w:cs="Arial"/>
          <w:spacing w:val="-1"/>
          <w:sz w:val="17"/>
          <w:szCs w:val="17"/>
        </w:rPr>
        <w:t>recuperación gradual en 2021. Dichas previsiones están sujetas a un alto grado de incertidumbre.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877BA6">
        <w:rPr>
          <w:rFonts w:ascii="Arial" w:eastAsia="Calibri" w:hAnsi="Arial" w:cs="Arial"/>
          <w:spacing w:val="-1"/>
          <w:sz w:val="17"/>
          <w:szCs w:val="17"/>
        </w:rPr>
        <w:t>En las economías avanzadas, las inflaciones general y subyacente permanecieron en niveles bajos e inferiores a los objetivos de sus respectivos bancos centrales, si bien repuntaron los precios de la energía y algunas mercancías.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C22216">
        <w:rPr>
          <w:rFonts w:ascii="Arial" w:eastAsia="Calibri" w:hAnsi="Arial" w:cs="Arial"/>
          <w:spacing w:val="-1"/>
          <w:sz w:val="17"/>
          <w:szCs w:val="17"/>
        </w:rPr>
        <w:t>Los principales bancos centrales de economías avanzadas han anunciado que mantendrán tasas de interés en niveles históricamente bajos y que utilizarán sus balances para propiciar un aumento sostenido de la demanda y la inflación.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C22216">
        <w:rPr>
          <w:rFonts w:ascii="Arial" w:eastAsia="Calibri" w:hAnsi="Arial" w:cs="Arial"/>
          <w:spacing w:val="-1"/>
          <w:sz w:val="17"/>
          <w:szCs w:val="17"/>
        </w:rPr>
        <w:t>Después de los niveles mínimos observados en marzo y abril, los precios internacionales de materias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C22216">
        <w:rPr>
          <w:rFonts w:ascii="Arial" w:eastAsia="Calibri" w:hAnsi="Arial" w:cs="Arial"/>
          <w:spacing w:val="-1"/>
          <w:sz w:val="17"/>
          <w:szCs w:val="17"/>
        </w:rPr>
        <w:t>primas han aumentado.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3140C0">
        <w:rPr>
          <w:rFonts w:ascii="Arial" w:eastAsia="Calibri" w:hAnsi="Arial" w:cs="Arial"/>
          <w:spacing w:val="-1"/>
          <w:sz w:val="17"/>
          <w:szCs w:val="17"/>
        </w:rPr>
        <w:t>En los últimos meses los mercados financieros internacionales mostraron un comportamiento positivo, impulsado por la gradual recuperación de la actividad económica mundial y los estímulos monetarios, fiscales y financieros implementados en las economías sistémicamente importantes.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E3504C">
        <w:rPr>
          <w:rFonts w:ascii="Arial" w:eastAsia="Calibri" w:hAnsi="Arial" w:cs="Arial"/>
          <w:spacing w:val="-1"/>
          <w:sz w:val="17"/>
          <w:szCs w:val="17"/>
        </w:rPr>
        <w:t>En los últimos meses las economías emergentes registraron entradas netas de capital, principalmente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E3504C">
        <w:rPr>
          <w:rFonts w:ascii="Arial" w:eastAsia="Calibri" w:hAnsi="Arial" w:cs="Arial"/>
          <w:spacing w:val="-1"/>
          <w:sz w:val="17"/>
          <w:szCs w:val="17"/>
        </w:rPr>
        <w:t>en activos de renta fija. El ajuste de los mercados cambiarios en diferentes economías emergentes ha sido heterogéneo y con episodios de volatilidad.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</w:p>
    <w:p w:rsidR="00A46EB4" w:rsidRDefault="00A46EB4" w:rsidP="00A46EB4">
      <w:p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46EB4" w:rsidRDefault="00A46EB4" w:rsidP="00A46EB4">
      <w:p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9A23C7">
        <w:rPr>
          <w:rFonts w:ascii="Arial" w:eastAsia="Calibri" w:hAnsi="Arial" w:cs="Arial"/>
          <w:spacing w:val="-1"/>
          <w:sz w:val="17"/>
          <w:szCs w:val="17"/>
        </w:rPr>
        <w:t xml:space="preserve">Con respecto a la evolución de la Economía Mexicana, BANXICO informó que </w:t>
      </w:r>
      <w:r>
        <w:rPr>
          <w:rFonts w:ascii="Arial" w:eastAsia="Calibri" w:hAnsi="Arial" w:cs="Arial"/>
          <w:spacing w:val="-1"/>
          <w:sz w:val="17"/>
          <w:szCs w:val="17"/>
        </w:rPr>
        <w:t>en el 3</w:t>
      </w:r>
      <w:r w:rsidRPr="005E4472">
        <w:rPr>
          <w:rFonts w:ascii="Arial" w:eastAsia="Calibri" w:hAnsi="Arial" w:cs="Arial"/>
          <w:spacing w:val="-1"/>
          <w:sz w:val="17"/>
          <w:szCs w:val="17"/>
        </w:rPr>
        <w:t xml:space="preserve">T-2020 </w:t>
      </w:r>
      <w:r>
        <w:rPr>
          <w:rFonts w:ascii="Arial" w:eastAsia="Calibri" w:hAnsi="Arial" w:cs="Arial"/>
          <w:spacing w:val="-1"/>
          <w:sz w:val="17"/>
          <w:szCs w:val="17"/>
        </w:rPr>
        <w:t>d</w:t>
      </w:r>
      <w:r w:rsidRPr="00E3504C">
        <w:rPr>
          <w:rFonts w:ascii="Arial" w:eastAsia="Calibri" w:hAnsi="Arial" w:cs="Arial"/>
          <w:spacing w:val="-1"/>
          <w:sz w:val="17"/>
          <w:szCs w:val="17"/>
        </w:rPr>
        <w:t>espués de una fuerte contracción del PIB en el 2T-2020, la economía mostró una recuperación en el 3T-2020, impulsada por la reapertura de actividades y por el repunte de la demanda externa, si bien permanece por debajo de los niveles previos a la emergencia sanitaria.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E3504C">
        <w:rPr>
          <w:rFonts w:ascii="Arial" w:eastAsia="Calibri" w:hAnsi="Arial" w:cs="Arial"/>
          <w:spacing w:val="-1"/>
          <w:sz w:val="17"/>
          <w:szCs w:val="17"/>
        </w:rPr>
        <w:t>La contracción económica en abril y mayo fue súbita, profunda y sincronizada entre los distintos sectores de actividad. La reapertura de actividades y el impulso de la demanda externa han propiciado desde junio una recuperación parcial y heterogénea.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C9290B">
        <w:rPr>
          <w:rFonts w:ascii="Arial" w:eastAsia="Calibri" w:hAnsi="Arial" w:cs="Arial"/>
          <w:spacing w:val="-1"/>
          <w:sz w:val="17"/>
          <w:szCs w:val="17"/>
        </w:rPr>
        <w:t>En el 3T-2020 la actividad industrial mostró cierta mejoría. En julio y agosto los servicios crecieron a un ritmo moderado y heterogéneo entre subsectores. En ambos casos los niveles de actividad se ubican por debajo de los niveles anteriores a la pandemia.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050829">
        <w:rPr>
          <w:rFonts w:ascii="Arial" w:eastAsia="Calibri" w:hAnsi="Arial" w:cs="Arial"/>
          <w:spacing w:val="-1"/>
          <w:sz w:val="17"/>
          <w:szCs w:val="17"/>
        </w:rPr>
        <w:t>El consumo privado ha mostrado una mejora a partir de junio, la cual se ha moderado en los últimos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050829">
        <w:rPr>
          <w:rFonts w:ascii="Arial" w:eastAsia="Calibri" w:hAnsi="Arial" w:cs="Arial"/>
          <w:spacing w:val="-1"/>
          <w:sz w:val="17"/>
          <w:szCs w:val="17"/>
        </w:rPr>
        <w:t>meses.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733967">
        <w:rPr>
          <w:rFonts w:ascii="Arial" w:eastAsia="Calibri" w:hAnsi="Arial" w:cs="Arial"/>
          <w:spacing w:val="-1"/>
          <w:sz w:val="17"/>
          <w:szCs w:val="17"/>
        </w:rPr>
        <w:t>La inversión fija bruta presentó cierta reactivación de junio a agosto. Los rubros de maquinaria y equipo y de construcción continuaron recuperándose, si bien permanecen significativamente por debajo de su nivel previo a la pandemia y enfrenta retos de corto y mediano plazo.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BC728D">
        <w:rPr>
          <w:rFonts w:ascii="Arial" w:eastAsia="Calibri" w:hAnsi="Arial" w:cs="Arial"/>
          <w:spacing w:val="-1"/>
          <w:sz w:val="17"/>
          <w:szCs w:val="17"/>
        </w:rPr>
        <w:t>En la etapa inicial de las afectaciones por la pandemia el comercio exterior de bienes se contrajo significativamente, a partir de junio la reapertura y la reactivación de la demanda externa propició la recuperación de las exportaciones, especialmente en el sector automotriz.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962A39">
        <w:rPr>
          <w:rFonts w:ascii="Arial" w:eastAsia="Calibri" w:hAnsi="Arial" w:cs="Arial"/>
          <w:spacing w:val="-1"/>
          <w:sz w:val="17"/>
          <w:szCs w:val="17"/>
        </w:rPr>
        <w:t xml:space="preserve">La mayor recuperación de las exportaciones respecto de las </w:t>
      </w:r>
      <w:r w:rsidRPr="00962A39">
        <w:rPr>
          <w:rFonts w:ascii="Arial" w:eastAsia="Calibri" w:hAnsi="Arial" w:cs="Arial"/>
          <w:spacing w:val="-1"/>
          <w:sz w:val="17"/>
          <w:szCs w:val="17"/>
        </w:rPr>
        <w:lastRenderedPageBreak/>
        <w:t>importaciones en el 3T-2020 condujo a que el superávit comercial de mercancías se ubicara en máximos históricos, lo que impulsó a la cuenta corriente en su conjunto a un superávit considerable en el 3T-2020 (17.5mmd).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886C86">
        <w:rPr>
          <w:rFonts w:ascii="Arial" w:eastAsia="Calibri" w:hAnsi="Arial" w:cs="Arial"/>
          <w:spacing w:val="-1"/>
          <w:sz w:val="17"/>
          <w:szCs w:val="17"/>
        </w:rPr>
        <w:t>Entre julio–octubre diversos indicadores del mercado laboral mostraron mejoría, luego del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886C86">
        <w:rPr>
          <w:rFonts w:ascii="Arial" w:eastAsia="Calibri" w:hAnsi="Arial" w:cs="Arial"/>
          <w:spacing w:val="-1"/>
          <w:sz w:val="17"/>
          <w:szCs w:val="17"/>
        </w:rPr>
        <w:t>significativo deterioro ocasionado por la pandemia.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7E48FB">
        <w:rPr>
          <w:rFonts w:ascii="Arial" w:eastAsia="Calibri" w:hAnsi="Arial" w:cs="Arial"/>
          <w:spacing w:val="-1"/>
          <w:sz w:val="17"/>
          <w:szCs w:val="17"/>
        </w:rPr>
        <w:t>Después de la importante ampliación de la holgura en el 2T-2020 esta se revirtió parcialmente en el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7E48FB">
        <w:rPr>
          <w:rFonts w:ascii="Arial" w:eastAsia="Calibri" w:hAnsi="Arial" w:cs="Arial"/>
          <w:spacing w:val="-1"/>
          <w:sz w:val="17"/>
          <w:szCs w:val="17"/>
        </w:rPr>
        <w:t>3T-2020 y aún se mantiene en niveles históricamente amplios.</w:t>
      </w:r>
    </w:p>
    <w:p w:rsidR="00A46EB4" w:rsidRDefault="00A46EB4" w:rsidP="00A46EB4">
      <w:p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46EB4" w:rsidRDefault="00A46EB4" w:rsidP="00A46EB4">
      <w:p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9A23C7">
        <w:rPr>
          <w:rFonts w:ascii="Arial" w:eastAsia="Calibri" w:hAnsi="Arial" w:cs="Arial"/>
          <w:spacing w:val="-1"/>
          <w:sz w:val="17"/>
          <w:szCs w:val="17"/>
        </w:rPr>
        <w:t>BANXICO menciona en su informe que</w:t>
      </w:r>
      <w:r w:rsidRPr="005C4AA9">
        <w:t xml:space="preserve"> </w:t>
      </w:r>
      <w:r>
        <w:rPr>
          <w:rFonts w:ascii="Arial" w:eastAsia="Calibri" w:hAnsi="Arial" w:cs="Arial"/>
          <w:spacing w:val="-1"/>
          <w:sz w:val="17"/>
          <w:szCs w:val="17"/>
        </w:rPr>
        <w:t>e</w:t>
      </w:r>
      <w:r w:rsidRPr="005C4AA9">
        <w:rPr>
          <w:rFonts w:ascii="Arial" w:eastAsia="Calibri" w:hAnsi="Arial" w:cs="Arial"/>
          <w:spacing w:val="-1"/>
          <w:sz w:val="17"/>
          <w:szCs w:val="17"/>
        </w:rPr>
        <w:t xml:space="preserve">l comportamiento de la inflación </w:t>
      </w:r>
      <w:r w:rsidRPr="00FF364A">
        <w:rPr>
          <w:rFonts w:ascii="Arial" w:eastAsia="Calibri" w:hAnsi="Arial" w:cs="Arial"/>
          <w:spacing w:val="-1"/>
          <w:sz w:val="17"/>
          <w:szCs w:val="17"/>
        </w:rPr>
        <w:t>sigue siendo influida por los efectos de la pandemia, después de registrar 2.15% en abril aumentó a 4.09% en octubre y en la 1Q-Noviembre disminuyó a 3.43%, reflejando menores precios de los energéticos, menores presiones en las frutas y verduras y los efectos de las ofertas de “El Bue</w:t>
      </w:r>
      <w:r>
        <w:rPr>
          <w:rFonts w:ascii="Arial" w:eastAsia="Calibri" w:hAnsi="Arial" w:cs="Arial"/>
          <w:spacing w:val="-1"/>
          <w:sz w:val="17"/>
          <w:szCs w:val="17"/>
        </w:rPr>
        <w:t>n Fin</w:t>
      </w:r>
      <w:r w:rsidRPr="00FF364A">
        <w:rPr>
          <w:rFonts w:ascii="Arial" w:eastAsia="Calibri" w:hAnsi="Arial" w:cs="Arial"/>
          <w:spacing w:val="-1"/>
          <w:sz w:val="17"/>
          <w:szCs w:val="17"/>
        </w:rPr>
        <w:t>”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, para cerrar en el 2020 en un 3.15%. </w:t>
      </w:r>
      <w:r w:rsidRPr="00BF2717">
        <w:rPr>
          <w:rFonts w:ascii="Arial" w:eastAsia="Calibri" w:hAnsi="Arial" w:cs="Arial"/>
          <w:spacing w:val="-1"/>
          <w:sz w:val="17"/>
          <w:szCs w:val="17"/>
        </w:rPr>
        <w:t>La inflación subyacente pasó de 3.5% en abril a 3.98% en octubre, con una recomposición a su interior con presiones al alza en los precios de las mercancías, que superaron las presiones a la baja en los precios de los servicios. En la 1Q-Noviembre las mercancías no alimenticias redujeron significativamente su variación anual.</w:t>
      </w:r>
      <w:r w:rsidRPr="00BF2717">
        <w:t xml:space="preserve"> </w:t>
      </w:r>
      <w:r w:rsidRPr="00BF2717">
        <w:rPr>
          <w:rFonts w:ascii="Arial" w:eastAsia="Calibri" w:hAnsi="Arial" w:cs="Arial"/>
          <w:spacing w:val="-1"/>
          <w:sz w:val="17"/>
          <w:szCs w:val="17"/>
        </w:rPr>
        <w:t>Los componentes de la inflación subyacente han resentido los choques ocasionados por la pandemia. En la 1Q-Noviembre se redujo la inflación subyacente, reflejando la mayor extensión e intensidad de las ofertas de “El Buen Fin”,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su persistencia se identificó</w:t>
      </w:r>
      <w:r w:rsidRPr="00BF2717">
        <w:rPr>
          <w:rFonts w:ascii="Arial" w:eastAsia="Calibri" w:hAnsi="Arial" w:cs="Arial"/>
          <w:spacing w:val="-1"/>
          <w:sz w:val="17"/>
          <w:szCs w:val="17"/>
        </w:rPr>
        <w:t xml:space="preserve"> con mayor claridad en los próximos meses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para cerrar en el 2020 en un 3.80%. </w:t>
      </w:r>
      <w:r w:rsidRPr="002D2A7B">
        <w:rPr>
          <w:rFonts w:ascii="Arial" w:eastAsia="Calibri" w:hAnsi="Arial" w:cs="Arial"/>
          <w:spacing w:val="-1"/>
          <w:sz w:val="17"/>
          <w:szCs w:val="17"/>
        </w:rPr>
        <w:t>Los precios de los energéticos han influido significativamente a la inflación no subyacente, que pasó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2D2A7B">
        <w:rPr>
          <w:rFonts w:ascii="Arial" w:eastAsia="Calibri" w:hAnsi="Arial" w:cs="Arial"/>
          <w:spacing w:val="-1"/>
          <w:sz w:val="17"/>
          <w:szCs w:val="17"/>
        </w:rPr>
        <w:t>de -1.96% en abril a 4.42% en octubre y disminuyó nuevam</w:t>
      </w:r>
      <w:r>
        <w:rPr>
          <w:rFonts w:ascii="Arial" w:eastAsia="Calibri" w:hAnsi="Arial" w:cs="Arial"/>
          <w:spacing w:val="-1"/>
          <w:sz w:val="17"/>
          <w:szCs w:val="17"/>
        </w:rPr>
        <w:t>ente a 2.67% en la 1Q-Noviembre, cerrando el 2020 en un 1.18%</w:t>
      </w:r>
      <w:r w:rsidRPr="00BF2717">
        <w:rPr>
          <w:rFonts w:ascii="Arial" w:eastAsia="Calibri" w:hAnsi="Arial" w:cs="Arial"/>
          <w:spacing w:val="-1"/>
          <w:sz w:val="17"/>
          <w:szCs w:val="17"/>
        </w:rPr>
        <w:t>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</w:p>
    <w:p w:rsidR="00A46EB4" w:rsidRDefault="00A46EB4" w:rsidP="00A46EB4">
      <w:p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9A23C7">
        <w:rPr>
          <w:rFonts w:ascii="Arial" w:eastAsia="Calibri" w:hAnsi="Arial" w:cs="Arial"/>
          <w:spacing w:val="-1"/>
          <w:sz w:val="17"/>
          <w:szCs w:val="17"/>
        </w:rPr>
        <w:t xml:space="preserve">En la conducción de la Política Monetaria, </w:t>
      </w:r>
      <w:r>
        <w:rPr>
          <w:rFonts w:ascii="Arial" w:eastAsia="Calibri" w:hAnsi="Arial" w:cs="Arial"/>
          <w:spacing w:val="-1"/>
          <w:sz w:val="17"/>
          <w:szCs w:val="17"/>
        </w:rPr>
        <w:t>e</w:t>
      </w:r>
      <w:r w:rsidRPr="004D2A5B">
        <w:rPr>
          <w:rFonts w:ascii="Arial" w:eastAsia="Calibri" w:hAnsi="Arial" w:cs="Arial"/>
          <w:spacing w:val="-1"/>
          <w:sz w:val="17"/>
          <w:szCs w:val="17"/>
        </w:rPr>
        <w:t xml:space="preserve">l Banco de México </w:t>
      </w:r>
      <w:r>
        <w:rPr>
          <w:rFonts w:ascii="Arial" w:eastAsia="Calibri" w:hAnsi="Arial" w:cs="Arial"/>
          <w:spacing w:val="-1"/>
          <w:sz w:val="17"/>
          <w:szCs w:val="17"/>
        </w:rPr>
        <w:t>e</w:t>
      </w:r>
      <w:r w:rsidRPr="00247A46">
        <w:rPr>
          <w:rFonts w:ascii="Arial" w:eastAsia="Calibri" w:hAnsi="Arial" w:cs="Arial"/>
          <w:spacing w:val="-1"/>
          <w:sz w:val="17"/>
          <w:szCs w:val="17"/>
        </w:rPr>
        <w:t xml:space="preserve">n el periodo que cubre este Informe, 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su </w:t>
      </w:r>
      <w:r w:rsidRPr="00247A46">
        <w:rPr>
          <w:rFonts w:ascii="Arial" w:eastAsia="Calibri" w:hAnsi="Arial" w:cs="Arial"/>
          <w:spacing w:val="-1"/>
          <w:sz w:val="17"/>
          <w:szCs w:val="17"/>
        </w:rPr>
        <w:t>Junta redujo la tasa de referencia en 75 puntos base. El 12 de noviembre dicha tasa se mantuvo en 4.25%. Esta pausa brinda el espacio necesario para confirmar una trayectoria convergente de la inflación a la meta.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247A46">
        <w:rPr>
          <w:rFonts w:ascii="Arial" w:eastAsia="Calibri" w:hAnsi="Arial" w:cs="Arial"/>
          <w:spacing w:val="-1"/>
          <w:sz w:val="17"/>
          <w:szCs w:val="17"/>
        </w:rPr>
        <w:t>En relación con las expectativas de inflación destaca que, entre junio y octubre, aquellas de corto plazo registraron aumentos, mientras que las de mediano y largo plazos permanecieron estables.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247A46">
        <w:rPr>
          <w:rFonts w:ascii="Arial" w:eastAsia="Calibri" w:hAnsi="Arial" w:cs="Arial"/>
          <w:spacing w:val="-1"/>
          <w:sz w:val="17"/>
          <w:szCs w:val="17"/>
        </w:rPr>
        <w:t>Durante la mayoría del 3T-2020, y en noviembre, los mercados financieros nacionales presentaron en lo general un comportamiento positivo asociado a la mejoría en las condiciones financieras internacionales, con algunos episodios de volatilidad acotada.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820ECA">
        <w:rPr>
          <w:rFonts w:ascii="Arial" w:eastAsia="Calibri" w:hAnsi="Arial" w:cs="Arial"/>
          <w:spacing w:val="-1"/>
          <w:sz w:val="17"/>
          <w:szCs w:val="17"/>
        </w:rPr>
        <w:t>Las tasas de interés de corto y mediano plazos disminuyeron, reflejando en parte las acciones de política monetaria del Banco de México, mientras que las de largo plazo se ubican en niveles inferiores a los registrados antes de la pandemia.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4D69AD">
        <w:rPr>
          <w:rFonts w:ascii="Arial" w:eastAsia="Calibri" w:hAnsi="Arial" w:cs="Arial"/>
          <w:spacing w:val="-1"/>
          <w:sz w:val="17"/>
          <w:szCs w:val="17"/>
        </w:rPr>
        <w:t>Ante los choques derivados de la pandemia, la política monetaria ha buscado contribuir a un ajuste ordenado en los mercados nacionales y en particular en un ajuste a la baja en toda la curva de rendimientos en México.</w:t>
      </w:r>
    </w:p>
    <w:p w:rsidR="00A46EB4" w:rsidRDefault="00A46EB4" w:rsidP="00A46EB4">
      <w:p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9A23C7">
        <w:rPr>
          <w:rFonts w:ascii="Arial" w:eastAsia="Calibri" w:hAnsi="Arial" w:cs="Arial"/>
          <w:spacing w:val="-1"/>
          <w:sz w:val="17"/>
          <w:szCs w:val="17"/>
        </w:rPr>
        <w:t>Las previsiones para la Actividad Económica po</w:t>
      </w:r>
      <w:r>
        <w:rPr>
          <w:rFonts w:ascii="Arial" w:eastAsia="Calibri" w:hAnsi="Arial" w:cs="Arial"/>
          <w:spacing w:val="-1"/>
          <w:sz w:val="17"/>
          <w:szCs w:val="17"/>
        </w:rPr>
        <w:t>r parte de BANXICO que menciona en su informe son:</w:t>
      </w:r>
    </w:p>
    <w:p w:rsidR="00A46EB4" w:rsidRPr="00270DDF" w:rsidRDefault="00A46EB4" w:rsidP="00F11EAE">
      <w:pPr>
        <w:pStyle w:val="Prrafodelista"/>
        <w:numPr>
          <w:ilvl w:val="0"/>
          <w:numId w:val="8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270DDF">
        <w:rPr>
          <w:rFonts w:ascii="Arial" w:eastAsia="Calibri" w:hAnsi="Arial" w:cs="Arial"/>
          <w:spacing w:val="-1"/>
          <w:sz w:val="17"/>
          <w:szCs w:val="17"/>
        </w:rPr>
        <w:t>Dada la mayor información que se tiene sobre el impacto adverso inicial y la fase de r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ecuperación, en esta edición </w:t>
      </w:r>
      <w:r w:rsidRPr="00270DDF">
        <w:rPr>
          <w:rFonts w:ascii="Arial" w:eastAsia="Calibri" w:hAnsi="Arial" w:cs="Arial"/>
          <w:spacing w:val="-1"/>
          <w:sz w:val="17"/>
          <w:szCs w:val="17"/>
        </w:rPr>
        <w:t>presenta un escenario central</w:t>
      </w:r>
      <w:r>
        <w:rPr>
          <w:rFonts w:ascii="Arial" w:eastAsia="Calibri" w:hAnsi="Arial" w:cs="Arial"/>
          <w:spacing w:val="-1"/>
          <w:sz w:val="17"/>
          <w:szCs w:val="17"/>
        </w:rPr>
        <w:t>, es decir,</w:t>
      </w:r>
      <w:r w:rsidRPr="00270DDF">
        <w:rPr>
          <w:rFonts w:ascii="Arial" w:eastAsia="Calibri" w:hAnsi="Arial" w:cs="Arial"/>
          <w:spacing w:val="-1"/>
          <w:sz w:val="17"/>
          <w:szCs w:val="17"/>
        </w:rPr>
        <w:t xml:space="preserve"> supone una recuperación gradual, a un ritmo moderado, a lo largo del horizonte de pronóstico, convergiendo a un crecimiento inercial hacia 2022.</w:t>
      </w:r>
    </w:p>
    <w:p w:rsidR="00A46EB4" w:rsidRPr="008D5B98" w:rsidRDefault="00A46EB4" w:rsidP="00F11EAE">
      <w:pPr>
        <w:pStyle w:val="Prrafodelista"/>
        <w:numPr>
          <w:ilvl w:val="0"/>
          <w:numId w:val="8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270DDF">
        <w:rPr>
          <w:rFonts w:ascii="Arial" w:eastAsia="Calibri" w:hAnsi="Arial" w:cs="Arial"/>
          <w:spacing w:val="-1"/>
          <w:sz w:val="17"/>
          <w:szCs w:val="17"/>
        </w:rPr>
        <w:t>Persiste un alto grado de incertidumbre sobre la evolución futura de la actividad, tanto nacional, como global, esto se refleja en la amplitud del intervalo de crecimiento.</w:t>
      </w:r>
    </w:p>
    <w:p w:rsidR="00A46EB4" w:rsidRPr="009A23C7" w:rsidRDefault="00A46EB4" w:rsidP="00A46EB4">
      <w:p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Los Riesgos para el Crecimiento BANXICO considera que para el escenario central están sesgados a la baja si</w:t>
      </w:r>
      <w:r w:rsidRPr="009A23C7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A46EB4" w:rsidRPr="007D5108" w:rsidRDefault="00A46EB4" w:rsidP="00F11EAE">
      <w:pPr>
        <w:pStyle w:val="Prrafodelista"/>
        <w:numPr>
          <w:ilvl w:val="0"/>
          <w:numId w:val="11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Se prolonga</w:t>
      </w:r>
      <w:r w:rsidRPr="007D5108">
        <w:rPr>
          <w:rFonts w:ascii="Arial" w:eastAsia="Calibri" w:hAnsi="Arial" w:cs="Arial"/>
          <w:spacing w:val="-1"/>
          <w:sz w:val="17"/>
          <w:szCs w:val="17"/>
        </w:rPr>
        <w:t>n las medidas de distanciamiento social o se retomen medidas más estrictas.</w:t>
      </w:r>
    </w:p>
    <w:p w:rsidR="00A46EB4" w:rsidRPr="007D5108" w:rsidRDefault="00A46EB4" w:rsidP="00F11EAE">
      <w:pPr>
        <w:pStyle w:val="Prrafodelista"/>
        <w:numPr>
          <w:ilvl w:val="0"/>
          <w:numId w:val="11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D5108">
        <w:rPr>
          <w:rFonts w:ascii="Arial" w:eastAsia="Calibri" w:hAnsi="Arial" w:cs="Arial"/>
          <w:spacing w:val="-1"/>
          <w:sz w:val="17"/>
          <w:szCs w:val="17"/>
        </w:rPr>
        <w:t>Episodios adicionales de volatilidad en los mercados financieros internacionales.</w:t>
      </w:r>
    </w:p>
    <w:p w:rsidR="00A46EB4" w:rsidRPr="007D5108" w:rsidRDefault="00A46EB4" w:rsidP="00F11EAE">
      <w:pPr>
        <w:pStyle w:val="Prrafodelista"/>
        <w:numPr>
          <w:ilvl w:val="0"/>
          <w:numId w:val="11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D5108">
        <w:rPr>
          <w:rFonts w:ascii="Arial" w:eastAsia="Calibri" w:hAnsi="Arial" w:cs="Arial"/>
          <w:spacing w:val="-1"/>
          <w:sz w:val="17"/>
          <w:szCs w:val="17"/>
        </w:rPr>
        <w:t>Que las medidas de apoyo a nivel nacional o internacional, sean insuficientes.</w:t>
      </w:r>
    </w:p>
    <w:p w:rsidR="00A46EB4" w:rsidRPr="007D5108" w:rsidRDefault="00A46EB4" w:rsidP="00F11EAE">
      <w:pPr>
        <w:pStyle w:val="Prrafodelista"/>
        <w:numPr>
          <w:ilvl w:val="0"/>
          <w:numId w:val="11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D5108">
        <w:rPr>
          <w:rFonts w:ascii="Arial" w:eastAsia="Calibri" w:hAnsi="Arial" w:cs="Arial"/>
          <w:spacing w:val="-1"/>
          <w:sz w:val="17"/>
          <w:szCs w:val="17"/>
        </w:rPr>
        <w:t>Que las secuelas causadas por la pandemia sobre la economía sean más permanentes.</w:t>
      </w:r>
    </w:p>
    <w:p w:rsidR="00A46EB4" w:rsidRPr="007D5108" w:rsidRDefault="00A46EB4" w:rsidP="00F11EAE">
      <w:pPr>
        <w:pStyle w:val="Prrafodelista"/>
        <w:numPr>
          <w:ilvl w:val="0"/>
          <w:numId w:val="11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D5108">
        <w:rPr>
          <w:rFonts w:ascii="Arial" w:eastAsia="Calibri" w:hAnsi="Arial" w:cs="Arial"/>
          <w:spacing w:val="-1"/>
          <w:sz w:val="17"/>
          <w:szCs w:val="17"/>
        </w:rPr>
        <w:t>Que se observen reducciones en la calificación de la deuda soberana y la de Pemex.</w:t>
      </w:r>
    </w:p>
    <w:p w:rsidR="00A46EB4" w:rsidRDefault="00A46EB4" w:rsidP="00F11EAE">
      <w:pPr>
        <w:pStyle w:val="Prrafodelista"/>
        <w:numPr>
          <w:ilvl w:val="0"/>
          <w:numId w:val="10"/>
        </w:numPr>
        <w:spacing w:before="120" w:after="120" w:line="240" w:lineRule="exact"/>
        <w:ind w:left="357" w:hanging="357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D5108">
        <w:rPr>
          <w:rFonts w:ascii="Arial" w:eastAsia="Calibri" w:hAnsi="Arial" w:cs="Arial"/>
          <w:spacing w:val="-1"/>
          <w:sz w:val="17"/>
          <w:szCs w:val="17"/>
        </w:rPr>
        <w:t>Que persista el entorno de incertidumbre interna que ha afectado a la inversión.</w:t>
      </w:r>
    </w:p>
    <w:p w:rsidR="00A46EB4" w:rsidRPr="007D5108" w:rsidRDefault="00A46EB4" w:rsidP="00A46EB4">
      <w:p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Y al</w:t>
      </w:r>
      <w:r w:rsidRPr="007D5108">
        <w:rPr>
          <w:rFonts w:ascii="Arial" w:eastAsia="Calibri" w:hAnsi="Arial" w:cs="Arial"/>
          <w:spacing w:val="-1"/>
          <w:sz w:val="17"/>
          <w:szCs w:val="17"/>
        </w:rPr>
        <w:t xml:space="preserve"> alza:</w:t>
      </w:r>
    </w:p>
    <w:p w:rsidR="00A46EB4" w:rsidRPr="007D5108" w:rsidRDefault="00A46EB4" w:rsidP="00F11EAE">
      <w:pPr>
        <w:pStyle w:val="Prrafodelista"/>
        <w:numPr>
          <w:ilvl w:val="0"/>
          <w:numId w:val="11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7D5108">
        <w:rPr>
          <w:rFonts w:ascii="Arial" w:eastAsia="Calibri" w:hAnsi="Arial" w:cs="Arial"/>
          <w:spacing w:val="-1"/>
          <w:sz w:val="17"/>
          <w:szCs w:val="17"/>
        </w:rPr>
        <w:t>Que la pandemia se disipe en el corto plazo, como resultado de nuevos tratamientos o de la introducción de una vacuna efectiva.</w:t>
      </w:r>
    </w:p>
    <w:p w:rsidR="00A46EB4" w:rsidRDefault="00A46EB4" w:rsidP="00F11EAE">
      <w:pPr>
        <w:pStyle w:val="Prrafodelista"/>
        <w:numPr>
          <w:ilvl w:val="0"/>
          <w:numId w:val="11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F15B8">
        <w:rPr>
          <w:rFonts w:ascii="Arial" w:eastAsia="Calibri" w:hAnsi="Arial" w:cs="Arial"/>
          <w:spacing w:val="-1"/>
          <w:sz w:val="17"/>
          <w:szCs w:val="17"/>
        </w:rPr>
        <w:t>Que los estímulos que se han otorgado sean efectivos para contrarrestar las secuelas de la  pandemia y apoyar la recuperación de la economía global.</w:t>
      </w:r>
    </w:p>
    <w:p w:rsidR="00A46EB4" w:rsidRPr="003F15B8" w:rsidRDefault="00A46EB4" w:rsidP="00F11EAE">
      <w:pPr>
        <w:pStyle w:val="Prrafodelista"/>
        <w:numPr>
          <w:ilvl w:val="0"/>
          <w:numId w:val="11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3F15B8">
        <w:rPr>
          <w:rFonts w:ascii="Arial" w:eastAsia="Calibri" w:hAnsi="Arial" w:cs="Arial"/>
          <w:spacing w:val="-1"/>
          <w:sz w:val="17"/>
          <w:szCs w:val="17"/>
        </w:rPr>
        <w:t>Que la reciente entrada en vigor del T-MEC propicie una inversión mayor a la esperada.</w:t>
      </w:r>
    </w:p>
    <w:p w:rsidR="00A46EB4" w:rsidRDefault="00A46EB4" w:rsidP="00A46EB4">
      <w:p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lastRenderedPageBreak/>
        <w:t>Las p</w:t>
      </w:r>
      <w:r w:rsidRPr="009A23C7">
        <w:rPr>
          <w:rFonts w:ascii="Arial" w:eastAsia="Calibri" w:hAnsi="Arial" w:cs="Arial"/>
          <w:spacing w:val="-1"/>
          <w:sz w:val="17"/>
          <w:szCs w:val="17"/>
        </w:rPr>
        <w:t>revisiones para la Inflación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que BANXICO señala en su informe que:</w:t>
      </w:r>
    </w:p>
    <w:p w:rsidR="00A46EB4" w:rsidRDefault="00A46EB4" w:rsidP="00F11EAE">
      <w:pPr>
        <w:pStyle w:val="Prrafodelista"/>
        <w:numPr>
          <w:ilvl w:val="0"/>
          <w:numId w:val="13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8D5B98">
        <w:rPr>
          <w:rFonts w:ascii="Arial" w:eastAsia="Calibri" w:hAnsi="Arial" w:cs="Arial"/>
          <w:spacing w:val="-1"/>
          <w:sz w:val="17"/>
          <w:szCs w:val="17"/>
        </w:rPr>
        <w:t>La pandemia y sus efectos sobre la actividad económica continúan generando incertidumbre sobre la trayectoria de la inflación.</w:t>
      </w:r>
    </w:p>
    <w:p w:rsidR="00A46EB4" w:rsidRDefault="00A46EB4" w:rsidP="00F11EAE">
      <w:pPr>
        <w:pStyle w:val="Prrafodelista"/>
        <w:numPr>
          <w:ilvl w:val="0"/>
          <w:numId w:val="13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8D5B98">
        <w:rPr>
          <w:rFonts w:ascii="Arial" w:eastAsia="Calibri" w:hAnsi="Arial" w:cs="Arial"/>
          <w:spacing w:val="-1"/>
          <w:sz w:val="17"/>
          <w:szCs w:val="17"/>
        </w:rPr>
        <w:t>A partir del escenario central para la actividad económica, se presenta un escenario central para la inflación.</w:t>
      </w:r>
    </w:p>
    <w:p w:rsidR="00A46EB4" w:rsidRDefault="00A46EB4" w:rsidP="00F11EAE">
      <w:pPr>
        <w:pStyle w:val="Prrafodelista"/>
        <w:numPr>
          <w:ilvl w:val="0"/>
          <w:numId w:val="13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8D5B98">
        <w:rPr>
          <w:rFonts w:ascii="Arial" w:eastAsia="Calibri" w:hAnsi="Arial" w:cs="Arial"/>
          <w:spacing w:val="-1"/>
          <w:sz w:val="17"/>
          <w:szCs w:val="17"/>
        </w:rPr>
        <w:t>También presenta el pronóstico de inflación en su variación trimestral ajustada por estacionalidad.</w:t>
      </w:r>
    </w:p>
    <w:p w:rsidR="00A46EB4" w:rsidRPr="008D5B98" w:rsidRDefault="00A46EB4" w:rsidP="00F11EAE">
      <w:pPr>
        <w:pStyle w:val="Prrafodelista"/>
        <w:numPr>
          <w:ilvl w:val="0"/>
          <w:numId w:val="13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>La previsión para la Inflación General en e</w:t>
      </w:r>
      <w:r w:rsidRPr="008D5B98">
        <w:rPr>
          <w:rFonts w:ascii="Arial" w:eastAsia="Calibri" w:hAnsi="Arial" w:cs="Arial"/>
          <w:spacing w:val="-1"/>
          <w:sz w:val="17"/>
          <w:szCs w:val="17"/>
        </w:rPr>
        <w:t>l corto plazo se ajusta a la baja respecto al escenario anterior por su comportamiento observado; y posteriormente presenta trayectorias ligeramente más elevadas para la subyacente y la no subyacente. Se continúa esperando que en el horizonte de pronóstico de 12 a 24 meses la inflación general se ubique alrededor de 3%.</w:t>
      </w:r>
    </w:p>
    <w:p w:rsidR="00A46EB4" w:rsidRPr="003F15B8" w:rsidRDefault="00A46EB4" w:rsidP="00A46EB4">
      <w:p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Los Riesgos </w:t>
      </w:r>
      <w:r w:rsidRPr="003F15B8">
        <w:rPr>
          <w:rFonts w:ascii="Arial" w:eastAsia="Calibri" w:hAnsi="Arial" w:cs="Arial"/>
          <w:spacing w:val="-1"/>
          <w:sz w:val="17"/>
          <w:szCs w:val="17"/>
        </w:rPr>
        <w:t>para el Escenario de Inflación en el Horizonte de Pronóstico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3F15B8">
        <w:rPr>
          <w:rFonts w:ascii="Arial" w:eastAsia="Calibri" w:hAnsi="Arial" w:cs="Arial"/>
          <w:spacing w:val="-1"/>
          <w:sz w:val="17"/>
          <w:szCs w:val="17"/>
        </w:rPr>
        <w:t xml:space="preserve">BANXICO </w:t>
      </w:r>
      <w:r>
        <w:rPr>
          <w:rFonts w:ascii="Arial" w:eastAsia="Calibri" w:hAnsi="Arial" w:cs="Arial"/>
          <w:spacing w:val="-1"/>
          <w:sz w:val="17"/>
          <w:szCs w:val="17"/>
        </w:rPr>
        <w:t>señala en su informe que e</w:t>
      </w:r>
      <w:r w:rsidRPr="003F15B8">
        <w:rPr>
          <w:rFonts w:ascii="Arial" w:eastAsia="Calibri" w:hAnsi="Arial" w:cs="Arial"/>
          <w:spacing w:val="-1"/>
          <w:sz w:val="17"/>
          <w:szCs w:val="17"/>
        </w:rPr>
        <w:t>l balance de riesgos alrededor de la trayectoria esperada para la inflación es incierto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, por lo que se </w:t>
      </w:r>
      <w:r w:rsidRPr="003F15B8">
        <w:rPr>
          <w:rFonts w:ascii="Arial" w:eastAsia="Calibri" w:hAnsi="Arial" w:cs="Arial"/>
          <w:spacing w:val="-1"/>
          <w:sz w:val="17"/>
          <w:szCs w:val="17"/>
        </w:rPr>
        <w:t>considera a la baja si:</w:t>
      </w:r>
    </w:p>
    <w:p w:rsidR="00A46EB4" w:rsidRDefault="00A46EB4" w:rsidP="00F11EAE">
      <w:pPr>
        <w:pStyle w:val="Prrafodelista"/>
        <w:numPr>
          <w:ilvl w:val="0"/>
          <w:numId w:val="14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3722C">
        <w:rPr>
          <w:rFonts w:ascii="Arial" w:eastAsia="Calibri" w:hAnsi="Arial" w:cs="Arial"/>
          <w:spacing w:val="-1"/>
          <w:sz w:val="17"/>
          <w:szCs w:val="17"/>
        </w:rPr>
        <w:t>Un efecto mayor al esperado por la brecha negativa del producto, menor demanda de bienes y servicios por medidas adicionales de distanciamiento, o que ante la debilidad de la demanda, las reducciones de precios durante “El Buen Fin” sean más persistentes.</w:t>
      </w:r>
    </w:p>
    <w:p w:rsidR="00A46EB4" w:rsidRDefault="00A46EB4" w:rsidP="00F11EAE">
      <w:pPr>
        <w:pStyle w:val="Prrafodelista"/>
        <w:numPr>
          <w:ilvl w:val="0"/>
          <w:numId w:val="14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3722C">
        <w:rPr>
          <w:rFonts w:ascii="Arial" w:eastAsia="Calibri" w:hAnsi="Arial" w:cs="Arial"/>
          <w:spacing w:val="-1"/>
          <w:sz w:val="17"/>
          <w:szCs w:val="17"/>
        </w:rPr>
        <w:t>Menores presiones inflacionarias globales.</w:t>
      </w:r>
    </w:p>
    <w:p w:rsidR="00A46EB4" w:rsidRDefault="00A46EB4" w:rsidP="00F11EAE">
      <w:pPr>
        <w:pStyle w:val="Prrafodelista"/>
        <w:numPr>
          <w:ilvl w:val="0"/>
          <w:numId w:val="14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3722C">
        <w:rPr>
          <w:rFonts w:ascii="Arial" w:eastAsia="Calibri" w:hAnsi="Arial" w:cs="Arial"/>
          <w:spacing w:val="-1"/>
          <w:sz w:val="17"/>
          <w:szCs w:val="17"/>
        </w:rPr>
        <w:t>Que el tipo de cambio se aprecie.</w:t>
      </w:r>
    </w:p>
    <w:p w:rsidR="00A46EB4" w:rsidRDefault="00A46EB4" w:rsidP="00F11EAE">
      <w:pPr>
        <w:pStyle w:val="Prrafodelista"/>
        <w:numPr>
          <w:ilvl w:val="0"/>
          <w:numId w:val="14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3722C">
        <w:rPr>
          <w:rFonts w:ascii="Arial" w:eastAsia="Calibri" w:hAnsi="Arial" w:cs="Arial"/>
          <w:spacing w:val="-1"/>
          <w:sz w:val="17"/>
          <w:szCs w:val="17"/>
        </w:rPr>
        <w:t>Que los precios de los energéticos se ubiquen por debajo de lo previsto.</w:t>
      </w:r>
    </w:p>
    <w:p w:rsidR="00A46EB4" w:rsidRPr="0003722C" w:rsidRDefault="00A46EB4" w:rsidP="00F11EAE">
      <w:pPr>
        <w:pStyle w:val="Prrafodelista"/>
        <w:numPr>
          <w:ilvl w:val="0"/>
          <w:numId w:val="14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3722C">
        <w:rPr>
          <w:rFonts w:ascii="Arial" w:eastAsia="Calibri" w:hAnsi="Arial" w:cs="Arial"/>
          <w:spacing w:val="-1"/>
          <w:sz w:val="17"/>
          <w:szCs w:val="17"/>
        </w:rPr>
        <w:t>Que por la holgura en la economía las revisiones salariales no presionen a los precios.</w:t>
      </w:r>
    </w:p>
    <w:p w:rsidR="00A46EB4" w:rsidRPr="0003722C" w:rsidRDefault="00A46EB4" w:rsidP="00A46EB4">
      <w:p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3722C">
        <w:rPr>
          <w:rFonts w:ascii="Arial" w:eastAsia="Calibri" w:hAnsi="Arial" w:cs="Arial"/>
          <w:spacing w:val="-1"/>
          <w:sz w:val="17"/>
          <w:szCs w:val="17"/>
        </w:rPr>
        <w:t>Al alza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si:</w:t>
      </w:r>
    </w:p>
    <w:p w:rsidR="00A46EB4" w:rsidRDefault="00A46EB4" w:rsidP="00F11EAE">
      <w:pPr>
        <w:pStyle w:val="Prrafodelista"/>
        <w:numPr>
          <w:ilvl w:val="0"/>
          <w:numId w:val="15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3722C">
        <w:rPr>
          <w:rFonts w:ascii="Arial" w:eastAsia="Calibri" w:hAnsi="Arial" w:cs="Arial"/>
          <w:spacing w:val="-1"/>
          <w:sz w:val="17"/>
          <w:szCs w:val="17"/>
        </w:rPr>
        <w:t>Persistencia de la inflación subyacente en niveles elevados.</w:t>
      </w:r>
    </w:p>
    <w:p w:rsidR="00A46EB4" w:rsidRDefault="00A46EB4" w:rsidP="00F11EAE">
      <w:pPr>
        <w:pStyle w:val="Prrafodelista"/>
        <w:numPr>
          <w:ilvl w:val="0"/>
          <w:numId w:val="15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3722C">
        <w:rPr>
          <w:rFonts w:ascii="Arial" w:eastAsia="Calibri" w:hAnsi="Arial" w:cs="Arial"/>
          <w:spacing w:val="-1"/>
          <w:sz w:val="17"/>
          <w:szCs w:val="17"/>
        </w:rPr>
        <w:t>Episodios de depreciación cambiaria.</w:t>
      </w:r>
    </w:p>
    <w:p w:rsidR="00A46EB4" w:rsidRDefault="00A46EB4" w:rsidP="00F11EAE">
      <w:pPr>
        <w:pStyle w:val="Prrafodelista"/>
        <w:numPr>
          <w:ilvl w:val="0"/>
          <w:numId w:val="15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3722C">
        <w:rPr>
          <w:rFonts w:ascii="Arial" w:eastAsia="Calibri" w:hAnsi="Arial" w:cs="Arial"/>
          <w:spacing w:val="-1"/>
          <w:sz w:val="17"/>
          <w:szCs w:val="17"/>
        </w:rPr>
        <w:t>Aumento en la demanda relativa por ciertos bienes en el contexto de la contingencia sanitaria.</w:t>
      </w:r>
    </w:p>
    <w:p w:rsidR="00A46EB4" w:rsidRDefault="00A46EB4" w:rsidP="00F11EAE">
      <w:pPr>
        <w:pStyle w:val="Prrafodelista"/>
        <w:numPr>
          <w:ilvl w:val="0"/>
          <w:numId w:val="15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3722C">
        <w:rPr>
          <w:rFonts w:ascii="Arial" w:eastAsia="Calibri" w:hAnsi="Arial" w:cs="Arial"/>
          <w:spacing w:val="-1"/>
          <w:sz w:val="17"/>
          <w:szCs w:val="17"/>
        </w:rPr>
        <w:t>Que los precios de los energéticos se sitúen en niveles mayores a los anticipados.</w:t>
      </w:r>
    </w:p>
    <w:p w:rsidR="00A46EB4" w:rsidRPr="0003722C" w:rsidRDefault="00A46EB4" w:rsidP="00F11EAE">
      <w:pPr>
        <w:pStyle w:val="Prrafodelista"/>
        <w:numPr>
          <w:ilvl w:val="0"/>
          <w:numId w:val="15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03722C">
        <w:rPr>
          <w:rFonts w:ascii="Arial" w:eastAsia="Calibri" w:hAnsi="Arial" w:cs="Arial"/>
          <w:spacing w:val="-1"/>
          <w:sz w:val="17"/>
          <w:szCs w:val="17"/>
        </w:rPr>
        <w:t>Presiones de costos que, a pesar de la holgura, presionen los precios al consumidor.</w:t>
      </w:r>
    </w:p>
    <w:p w:rsidR="00A46EB4" w:rsidRPr="00C22526" w:rsidRDefault="00A46EB4" w:rsidP="00A46EB4">
      <w:p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Por último BANXICO emite en su informe las siguientes </w:t>
      </w:r>
      <w:r w:rsidRPr="00C22526">
        <w:rPr>
          <w:rFonts w:ascii="Arial" w:eastAsia="Calibri" w:hAnsi="Arial" w:cs="Arial"/>
          <w:spacing w:val="-1"/>
          <w:sz w:val="17"/>
          <w:szCs w:val="17"/>
        </w:rPr>
        <w:t>Consideraciones Finales</w:t>
      </w:r>
      <w:r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A46EB4" w:rsidRPr="00C22526" w:rsidRDefault="00A46EB4" w:rsidP="00F11EAE">
      <w:pPr>
        <w:pStyle w:val="Prrafodelista"/>
        <w:numPr>
          <w:ilvl w:val="0"/>
          <w:numId w:val="12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C22526">
        <w:rPr>
          <w:rFonts w:ascii="Arial" w:eastAsia="Calibri" w:hAnsi="Arial" w:cs="Arial"/>
          <w:spacing w:val="-1"/>
          <w:sz w:val="17"/>
          <w:szCs w:val="17"/>
        </w:rPr>
        <w:t>La Junta de Gobierno tomará las acciones que considere necesarias con base en la información adicional, a fin de que la tasa de referencia sea congruente con la convergencia ordenada y sostenida de la inflación general a la meta en el plazo en el que opera la política monetaria.</w:t>
      </w:r>
    </w:p>
    <w:p w:rsidR="00A46EB4" w:rsidRPr="00C22526" w:rsidRDefault="00A46EB4" w:rsidP="00F11EAE">
      <w:pPr>
        <w:pStyle w:val="Prrafodelista"/>
        <w:numPr>
          <w:ilvl w:val="0"/>
          <w:numId w:val="12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C22526">
        <w:rPr>
          <w:rFonts w:ascii="Arial" w:eastAsia="Calibri" w:hAnsi="Arial" w:cs="Arial"/>
          <w:spacing w:val="-1"/>
          <w:sz w:val="17"/>
          <w:szCs w:val="17"/>
        </w:rPr>
        <w:t>La conducción de la política monetaria dependerá de la evolución de los factores que inciden en la inflación general y subyacente, en sus trayectorias previstas en el horizonte de pronóstico y en sus expectativas.</w:t>
      </w:r>
    </w:p>
    <w:p w:rsidR="00A46EB4" w:rsidRPr="00C22526" w:rsidRDefault="00A46EB4" w:rsidP="00F11EAE">
      <w:pPr>
        <w:pStyle w:val="Prrafodelista"/>
        <w:numPr>
          <w:ilvl w:val="0"/>
          <w:numId w:val="12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C22526">
        <w:rPr>
          <w:rFonts w:ascii="Arial" w:eastAsia="Calibri" w:hAnsi="Arial" w:cs="Arial"/>
          <w:spacing w:val="-1"/>
          <w:sz w:val="17"/>
          <w:szCs w:val="17"/>
        </w:rPr>
        <w:t>Perseverar en fortalecer los fundamentos macroeconómicos y adoptar las acciones necesarias en los ámbitos monetario y fiscal, contribuirá a un mejor ajuste de los mercados financieros nacionales y de la economía en su conjunto.</w:t>
      </w:r>
    </w:p>
    <w:p w:rsidR="00A46EB4" w:rsidRPr="00C22526" w:rsidRDefault="00A46EB4" w:rsidP="00F11EAE">
      <w:pPr>
        <w:pStyle w:val="Prrafodelista"/>
        <w:numPr>
          <w:ilvl w:val="0"/>
          <w:numId w:val="12"/>
        </w:numPr>
        <w:spacing w:before="120" w:after="120" w:line="24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C22526">
        <w:rPr>
          <w:rFonts w:ascii="Arial" w:eastAsia="Calibri" w:hAnsi="Arial" w:cs="Arial"/>
          <w:spacing w:val="-1"/>
          <w:sz w:val="17"/>
          <w:szCs w:val="17"/>
        </w:rPr>
        <w:t>Es necesario contribuir a que la economía se ajuste con orden y así contribuir a la reactivación de la actividad productiva y del empleo, permitiendo la flexibilidad en la asignación de recursos, procurando un buen funcionamiento microeconómico y atendiendo los problemas institucionales y estructurales.</w:t>
      </w:r>
    </w:p>
    <w:p w:rsidR="00A46EB4" w:rsidRPr="00674D2C" w:rsidRDefault="00A46EB4" w:rsidP="00A46EB4">
      <w:pPr>
        <w:rPr>
          <w:rFonts w:ascii="Arial" w:hAnsi="Arial" w:cs="Arial"/>
          <w:b/>
          <w:bCs/>
          <w:color w:val="000000"/>
          <w:sz w:val="18"/>
          <w:szCs w:val="3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34"/>
          <w:shd w:val="clear" w:color="auto" w:fill="FFFFFF"/>
        </w:rPr>
        <w:br w:type="page"/>
      </w:r>
      <w:r w:rsidRPr="00674D2C">
        <w:rPr>
          <w:rFonts w:ascii="Arial" w:hAnsi="Arial" w:cs="Arial"/>
          <w:b/>
          <w:bCs/>
          <w:color w:val="000000"/>
          <w:sz w:val="18"/>
          <w:szCs w:val="34"/>
          <w:shd w:val="clear" w:color="auto" w:fill="FFFFFF"/>
        </w:rPr>
        <w:lastRenderedPageBreak/>
        <w:t>Indicador Trimestral de la Actividad Económica Estatal</w:t>
      </w:r>
    </w:p>
    <w:p w:rsidR="002279AD" w:rsidRPr="00630FDA" w:rsidRDefault="00A46EB4" w:rsidP="002279AD">
      <w:pPr>
        <w:pStyle w:val="p02"/>
        <w:keepLines w:val="0"/>
        <w:widowControl w:val="0"/>
        <w:jc w:val="center"/>
        <w:rPr>
          <w:rFonts w:ascii="Arial" w:hAnsi="Arial" w:cs="Arial"/>
          <w:b/>
          <w:smallCaps/>
          <w:color w:val="auto"/>
          <w:sz w:val="20"/>
        </w:rPr>
      </w:pPr>
      <w:r w:rsidRPr="00630FDA">
        <w:rPr>
          <w:rFonts w:ascii="Arial" w:hAnsi="Arial" w:cs="Arial"/>
          <w:b/>
          <w:smallCaps/>
          <w:color w:val="auto"/>
          <w:sz w:val="20"/>
        </w:rPr>
        <w:t xml:space="preserve">Indicador Trimestral de la Actividad Económica Estatal (ITAEE) </w:t>
      </w:r>
    </w:p>
    <w:p w:rsidR="00A46EB4" w:rsidRPr="00630FDA" w:rsidRDefault="00A46EB4" w:rsidP="00A46EB4">
      <w:pPr>
        <w:pStyle w:val="p02"/>
        <w:keepLines w:val="0"/>
        <w:widowControl w:val="0"/>
        <w:spacing w:before="0"/>
        <w:jc w:val="center"/>
        <w:rPr>
          <w:rFonts w:ascii="Arial" w:hAnsi="Arial" w:cs="Arial"/>
          <w:b/>
          <w:smallCaps/>
          <w:color w:val="auto"/>
          <w:sz w:val="20"/>
          <w:szCs w:val="22"/>
        </w:rPr>
      </w:pPr>
      <w:r w:rsidRPr="00630FDA">
        <w:rPr>
          <w:rFonts w:ascii="Arial" w:hAnsi="Arial" w:cs="Arial"/>
          <w:b/>
          <w:smallCaps/>
          <w:color w:val="auto"/>
          <w:sz w:val="20"/>
        </w:rPr>
        <w:t xml:space="preserve">durante el tercer trimestre </w:t>
      </w:r>
      <w:r w:rsidRPr="00630FDA">
        <w:rPr>
          <w:rFonts w:ascii="Arial" w:hAnsi="Arial" w:cs="Arial"/>
          <w:b/>
          <w:smallCaps/>
          <w:color w:val="auto"/>
          <w:sz w:val="20"/>
          <w:szCs w:val="22"/>
        </w:rPr>
        <w:t>de 2020</w:t>
      </w:r>
    </w:p>
    <w:tbl>
      <w:tblPr>
        <w:tblStyle w:val="Tablaconcuadrcula"/>
        <w:tblW w:w="84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6"/>
        <w:gridCol w:w="4111"/>
      </w:tblGrid>
      <w:tr w:rsidR="00A46EB4" w:rsidTr="000E6E12">
        <w:trPr>
          <w:jc w:val="center"/>
        </w:trPr>
        <w:tc>
          <w:tcPr>
            <w:tcW w:w="4346" w:type="dxa"/>
            <w:shd w:val="clear" w:color="auto" w:fill="BDD6EE" w:themeFill="accent1" w:themeFillTint="66"/>
          </w:tcPr>
          <w:p w:rsidR="00A46EB4" w:rsidRPr="000A578B" w:rsidRDefault="00A46EB4" w:rsidP="000E6E12">
            <w:pPr>
              <w:pStyle w:val="p02"/>
              <w:keepLines w:val="0"/>
              <w:widowControl w:val="0"/>
              <w:spacing w:before="120"/>
              <w:ind w:left="127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156EF2">
              <w:rPr>
                <w:rFonts w:ascii="Arial" w:hAnsi="Arial" w:cs="Arial"/>
                <w:color w:val="auto"/>
                <w:sz w:val="18"/>
              </w:rPr>
              <w:t xml:space="preserve">Variación % real respecto al mismo </w:t>
            </w:r>
            <w:r>
              <w:rPr>
                <w:rFonts w:ascii="Arial" w:hAnsi="Arial" w:cs="Arial"/>
                <w:color w:val="auto"/>
                <w:sz w:val="18"/>
              </w:rPr>
              <w:t>trimestre</w:t>
            </w:r>
            <w:r w:rsidRPr="00156EF2">
              <w:rPr>
                <w:rFonts w:ascii="Arial" w:hAnsi="Arial" w:cs="Arial"/>
                <w:color w:val="auto"/>
                <w:sz w:val="18"/>
              </w:rPr>
              <w:t xml:space="preserve"> del año anterior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A46EB4" w:rsidRDefault="00A46EB4" w:rsidP="000E6E12">
            <w:pPr>
              <w:pStyle w:val="p0"/>
              <w:spacing w:before="120"/>
              <w:ind w:left="127"/>
              <w:jc w:val="center"/>
            </w:pPr>
            <w:r>
              <w:rPr>
                <w:rFonts w:cs="Arial"/>
                <w:sz w:val="18"/>
              </w:rPr>
              <w:t>Contribución a la variación</w:t>
            </w:r>
            <w:r w:rsidRPr="00156EF2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real del total nacional</w:t>
            </w:r>
            <w:r w:rsidRPr="00962D1C">
              <w:rPr>
                <w:rFonts w:cs="Arial"/>
                <w:sz w:val="18"/>
                <w:vertAlign w:val="superscript"/>
              </w:rPr>
              <w:t>1/</w:t>
            </w:r>
          </w:p>
        </w:tc>
      </w:tr>
      <w:tr w:rsidR="00A46EB4" w:rsidTr="000E6E12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346" w:type="dxa"/>
          </w:tcPr>
          <w:p w:rsidR="00A46EB4" w:rsidRDefault="00A46EB4" w:rsidP="000E6E12">
            <w:pPr>
              <w:pStyle w:val="p0"/>
              <w:spacing w:before="0"/>
              <w:ind w:left="-116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F75596A" wp14:editId="03F43398">
                  <wp:extent cx="2520000" cy="4500000"/>
                  <wp:effectExtent l="57150" t="38100" r="52070" b="72390"/>
                  <wp:docPr id="7" name="Gráfico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A46EB4" w:rsidRDefault="00A46EB4" w:rsidP="000E6E12">
            <w:pPr>
              <w:pStyle w:val="p0"/>
              <w:spacing w:before="0"/>
              <w:ind w:left="-67" w:right="-74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4A6BF9E7" wp14:editId="2B5EE8CA">
                  <wp:extent cx="2520000" cy="4500000"/>
                  <wp:effectExtent l="57150" t="38100" r="52070" b="72390"/>
                  <wp:docPr id="16" name="Gráfico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A46EB4" w:rsidRPr="00630FDA" w:rsidRDefault="00A46EB4" w:rsidP="00630FDA">
      <w:pPr>
        <w:pStyle w:val="Textoindependiente"/>
        <w:spacing w:before="0" w:line="180" w:lineRule="atLeast"/>
        <w:ind w:left="426" w:right="49" w:hanging="142"/>
        <w:rPr>
          <w:rFonts w:cs="Arial"/>
          <w:color w:val="000000"/>
          <w:sz w:val="16"/>
          <w:szCs w:val="16"/>
        </w:rPr>
      </w:pPr>
      <w:r w:rsidRPr="00630FDA">
        <w:rPr>
          <w:rFonts w:cs="Arial"/>
          <w:color w:val="000000"/>
          <w:sz w:val="16"/>
          <w:szCs w:val="16"/>
          <w:vertAlign w:val="superscript"/>
        </w:rPr>
        <w:t>1/</w:t>
      </w:r>
      <w:r w:rsidRPr="00630FDA">
        <w:rPr>
          <w:rFonts w:cs="Arial"/>
          <w:color w:val="000000"/>
          <w:sz w:val="16"/>
          <w:szCs w:val="16"/>
        </w:rPr>
        <w:t xml:space="preserve"> Las contribuciones se obtienen ponderando las tasas de crecimiento con la participación que cada estado tiene en el indicador total.</w:t>
      </w:r>
    </w:p>
    <w:p w:rsidR="00A46EB4" w:rsidRPr="00630FDA" w:rsidRDefault="00A46EB4" w:rsidP="00630FDA">
      <w:pPr>
        <w:pStyle w:val="Textoindependiente"/>
        <w:widowControl w:val="0"/>
        <w:spacing w:before="0" w:line="180" w:lineRule="atLeast"/>
        <w:ind w:left="142" w:right="51"/>
        <w:jc w:val="left"/>
        <w:rPr>
          <w:rFonts w:cs="Arial"/>
          <w:color w:val="000000"/>
        </w:rPr>
      </w:pPr>
      <w:r w:rsidRPr="00630FDA">
        <w:rPr>
          <w:rFonts w:cs="Arial"/>
          <w:color w:val="000000"/>
          <w:sz w:val="16"/>
          <w:szCs w:val="16"/>
        </w:rPr>
        <w:t xml:space="preserve">    Fuente: INEGI.</w:t>
      </w:r>
    </w:p>
    <w:sectPr w:rsidR="00A46EB4" w:rsidRPr="00630FDA" w:rsidSect="00584F3B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37" w:rsidRDefault="00383337">
      <w:r>
        <w:separator/>
      </w:r>
    </w:p>
  </w:endnote>
  <w:endnote w:type="continuationSeparator" w:id="0">
    <w:p w:rsidR="00383337" w:rsidRDefault="0038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47" w:rsidRPr="00CF00D0" w:rsidRDefault="00AA7547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23F082" wp14:editId="07CE5A2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F9B7562" id="Rectángulo 14" o:spid="_x0000_s1026" style="position:absolute;margin-left:0;margin-top:0;width:664.75pt;height:3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="002F7F05">
      <w:rPr>
        <w:rFonts w:ascii="Avenir LT Std 45 Book" w:hAnsi="Avenir LT Std 45 Book" w:cs="Arial"/>
        <w:color w:val="808080"/>
        <w:szCs w:val="20"/>
      </w:rPr>
      <w:t>PANORAMA ECONÓMICO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1A1DCF">
      <w:rPr>
        <w:rFonts w:ascii="Avenir LT Std 45 Book" w:hAnsi="Avenir LT Std 45 Book" w:cs="Arial"/>
        <w:noProof/>
        <w:color w:val="808080"/>
        <w:szCs w:val="20"/>
      </w:rPr>
      <w:t>2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1A1DCF">
      <w:rPr>
        <w:rFonts w:ascii="Avenir LT Std 45 Book" w:hAnsi="Avenir LT Std 45 Book" w:cs="Arial"/>
        <w:noProof/>
        <w:color w:val="808080"/>
        <w:szCs w:val="20"/>
      </w:rPr>
      <w:t>4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:rsidR="00AA7547" w:rsidRPr="00813029" w:rsidRDefault="00AA7547" w:rsidP="008130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47" w:rsidRPr="00954205" w:rsidRDefault="00AA7547" w:rsidP="00813029">
    <w:pPr>
      <w:pStyle w:val="Textoindependiente3"/>
      <w:tabs>
        <w:tab w:val="right" w:pos="13288"/>
      </w:tabs>
      <w:rPr>
        <w:rFonts w:asciiTheme="minorHAnsi" w:hAnsiTheme="minorHAnsi" w:cstheme="minorHAnsi"/>
        <w:color w:val="80808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37" w:rsidRDefault="00383337">
      <w:r>
        <w:separator/>
      </w:r>
    </w:p>
  </w:footnote>
  <w:footnote w:type="continuationSeparator" w:id="0">
    <w:p w:rsidR="00383337" w:rsidRDefault="0038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47" w:rsidRPr="002809DB" w:rsidRDefault="00AA7547" w:rsidP="00627A77">
    <w:pPr>
      <w:rPr>
        <w:rFonts w:ascii="Soberana Sans Light" w:hAnsi="Soberana Sans Light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-332884</wp:posOffset>
          </wp:positionV>
          <wp:extent cx="1564005" cy="581660"/>
          <wp:effectExtent l="0" t="0" r="0" b="889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STADO_QUERET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00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E85D3F" wp14:editId="374E2962">
              <wp:simplePos x="0" y="0"/>
              <wp:positionH relativeFrom="margin">
                <wp:align>right</wp:align>
              </wp:positionH>
              <wp:positionV relativeFrom="paragraph">
                <wp:posOffset>-97209</wp:posOffset>
              </wp:positionV>
              <wp:extent cx="1940560" cy="308540"/>
              <wp:effectExtent l="0" t="0" r="254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0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547" w:rsidRPr="00CF00D0" w:rsidRDefault="00A46EB4" w:rsidP="00997F4C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85D3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6pt;margin-top:-7.65pt;width:152.8pt;height:24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" stroked="f">
              <v:textbox>
                <w:txbxContent>
                  <w:p w:rsidR="00AA7547" w:rsidRPr="00CF00D0" w:rsidRDefault="00A46EB4" w:rsidP="00997F4C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A2502B" wp14:editId="75EA596F">
              <wp:simplePos x="0" y="0"/>
              <wp:positionH relativeFrom="column">
                <wp:posOffset>6488523</wp:posOffset>
              </wp:positionH>
              <wp:positionV relativeFrom="paragraph">
                <wp:posOffset>-422579</wp:posOffset>
              </wp:positionV>
              <wp:extent cx="1940560" cy="398297"/>
              <wp:effectExtent l="0" t="0" r="2540" b="1905"/>
              <wp:wrapNone/>
              <wp:docPr id="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982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547" w:rsidRPr="00CF00D0" w:rsidRDefault="00AA7547" w:rsidP="00275FC6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CF00D0"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AA7547" w:rsidRPr="00CF00D0" w:rsidRDefault="00AA7547" w:rsidP="00275FC6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CF00D0"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A2502B" id="_x0000_s1027" type="#_x0000_t202" style="position:absolute;margin-left:510.9pt;margin-top:-33.25pt;width:152.8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PzigIAAB0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" stroked="f">
              <v:textbox>
                <w:txbxContent>
                  <w:p w:rsidR="00AA7547" w:rsidRPr="00CF00D0" w:rsidRDefault="00AA7547" w:rsidP="00275FC6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 w:rsidRPr="00CF00D0"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  <w:p w:rsidR="00AA7547" w:rsidRPr="00CF00D0" w:rsidRDefault="00AA7547" w:rsidP="00275FC6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 w:rsidRPr="00CF00D0"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75F308" wp14:editId="59F94F8C">
              <wp:simplePos x="0" y="0"/>
              <wp:positionH relativeFrom="margin">
                <wp:align>left</wp:align>
              </wp:positionH>
              <wp:positionV relativeFrom="paragraph">
                <wp:posOffset>268636</wp:posOffset>
              </wp:positionV>
              <wp:extent cx="8442773" cy="45719"/>
              <wp:effectExtent l="0" t="0" r="15875" b="1206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6FBCF11" id="Rectángulo 9" o:spid="_x0000_s1026" style="position:absolute;margin-left:0;margin-top:21.15pt;width:664.8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47" w:rsidRPr="00CF00D0" w:rsidRDefault="007B4672" w:rsidP="00823211">
    <w:pPr>
      <w:jc w:val="center"/>
      <w:rPr>
        <w:rFonts w:ascii="Avenir LT Std 45 Book" w:hAnsi="Avenir LT Std 45 Book"/>
        <w:b/>
        <w:color w:val="808080"/>
        <w:sz w:val="20"/>
        <w:szCs w:val="20"/>
      </w:rPr>
    </w:pPr>
    <w:r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>ESTADO DE QUERÉTARO</w:t>
    </w:r>
    <w:r w:rsidR="00AA7547" w:rsidRPr="00CF00D0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1E6F8" wp14:editId="0896A56B">
              <wp:simplePos x="0" y="0"/>
              <wp:positionH relativeFrom="margin">
                <wp:posOffset>-18863</wp:posOffset>
              </wp:positionH>
              <wp:positionV relativeFrom="paragraph">
                <wp:posOffset>205526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D7D2BC8" id="Rectángulo 5" o:spid="_x0000_s1026" style="position:absolute;margin-left:-1.5pt;margin-top:16.2pt;width:664.8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BESsPo3wAAAAk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>
    <w:nsid w:val="0EBC78DB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C5117"/>
    <w:multiLevelType w:val="hybridMultilevel"/>
    <w:tmpl w:val="95CAC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7C96">
      <w:numFmt w:val="bullet"/>
      <w:lvlText w:val="•"/>
      <w:lvlJc w:val="left"/>
      <w:pPr>
        <w:ind w:left="3945" w:hanging="705"/>
      </w:pPr>
      <w:rPr>
        <w:rFonts w:ascii="Arial" w:eastAsia="Calibri" w:hAnsi="Arial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F77FE"/>
    <w:multiLevelType w:val="multilevel"/>
    <w:tmpl w:val="CF34A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120857"/>
    <w:multiLevelType w:val="hybridMultilevel"/>
    <w:tmpl w:val="4FD87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11845"/>
    <w:multiLevelType w:val="hybridMultilevel"/>
    <w:tmpl w:val="7D12A9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310598"/>
    <w:multiLevelType w:val="hybridMultilevel"/>
    <w:tmpl w:val="F132A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740A8"/>
    <w:multiLevelType w:val="hybridMultilevel"/>
    <w:tmpl w:val="3A9E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64D2B"/>
    <w:multiLevelType w:val="hybridMultilevel"/>
    <w:tmpl w:val="6EE0E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  <w:num w:numId="14">
    <w:abstractNumId w:val="13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A2"/>
    <w:rsid w:val="00000166"/>
    <w:rsid w:val="000008C2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6A7F"/>
    <w:rsid w:val="00017ACD"/>
    <w:rsid w:val="00026019"/>
    <w:rsid w:val="000331A9"/>
    <w:rsid w:val="00035026"/>
    <w:rsid w:val="000352FF"/>
    <w:rsid w:val="00040AA9"/>
    <w:rsid w:val="000412BA"/>
    <w:rsid w:val="00042E9B"/>
    <w:rsid w:val="0004490E"/>
    <w:rsid w:val="000556E4"/>
    <w:rsid w:val="00056302"/>
    <w:rsid w:val="0005667D"/>
    <w:rsid w:val="00060302"/>
    <w:rsid w:val="00061C12"/>
    <w:rsid w:val="00061CB6"/>
    <w:rsid w:val="00063DF1"/>
    <w:rsid w:val="00063EA6"/>
    <w:rsid w:val="0006463E"/>
    <w:rsid w:val="00064969"/>
    <w:rsid w:val="0006529B"/>
    <w:rsid w:val="0006650E"/>
    <w:rsid w:val="000674A8"/>
    <w:rsid w:val="000711BC"/>
    <w:rsid w:val="00071233"/>
    <w:rsid w:val="00072CB2"/>
    <w:rsid w:val="00072E8E"/>
    <w:rsid w:val="00072F8B"/>
    <w:rsid w:val="00073B3F"/>
    <w:rsid w:val="00074B74"/>
    <w:rsid w:val="00075E8D"/>
    <w:rsid w:val="0007770A"/>
    <w:rsid w:val="00077BF0"/>
    <w:rsid w:val="00080148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7DDA"/>
    <w:rsid w:val="000A04D9"/>
    <w:rsid w:val="000A0712"/>
    <w:rsid w:val="000A1CD9"/>
    <w:rsid w:val="000A204D"/>
    <w:rsid w:val="000A2512"/>
    <w:rsid w:val="000A39DC"/>
    <w:rsid w:val="000A66A2"/>
    <w:rsid w:val="000A6EDA"/>
    <w:rsid w:val="000B09F9"/>
    <w:rsid w:val="000B0AAA"/>
    <w:rsid w:val="000B15B5"/>
    <w:rsid w:val="000B2E80"/>
    <w:rsid w:val="000B5B5B"/>
    <w:rsid w:val="000B6CF1"/>
    <w:rsid w:val="000B78FA"/>
    <w:rsid w:val="000C00FF"/>
    <w:rsid w:val="000C0C81"/>
    <w:rsid w:val="000C472B"/>
    <w:rsid w:val="000C634E"/>
    <w:rsid w:val="000C65BA"/>
    <w:rsid w:val="000C69D3"/>
    <w:rsid w:val="000C6B30"/>
    <w:rsid w:val="000C785E"/>
    <w:rsid w:val="000D0770"/>
    <w:rsid w:val="000D1C10"/>
    <w:rsid w:val="000D2B07"/>
    <w:rsid w:val="000D2B10"/>
    <w:rsid w:val="000D4D42"/>
    <w:rsid w:val="000D6790"/>
    <w:rsid w:val="000D6A6C"/>
    <w:rsid w:val="000E08A8"/>
    <w:rsid w:val="000E0E94"/>
    <w:rsid w:val="000E15DF"/>
    <w:rsid w:val="000E2BF9"/>
    <w:rsid w:val="000E381F"/>
    <w:rsid w:val="000E4D88"/>
    <w:rsid w:val="000E546D"/>
    <w:rsid w:val="000F12DA"/>
    <w:rsid w:val="000F17A5"/>
    <w:rsid w:val="000F2A98"/>
    <w:rsid w:val="000F44F2"/>
    <w:rsid w:val="000F72A0"/>
    <w:rsid w:val="000F74C6"/>
    <w:rsid w:val="000F79B7"/>
    <w:rsid w:val="001000AE"/>
    <w:rsid w:val="00101978"/>
    <w:rsid w:val="00102FF2"/>
    <w:rsid w:val="001042D7"/>
    <w:rsid w:val="001045F8"/>
    <w:rsid w:val="0010523D"/>
    <w:rsid w:val="001059EB"/>
    <w:rsid w:val="001064F1"/>
    <w:rsid w:val="00114B14"/>
    <w:rsid w:val="00116F9D"/>
    <w:rsid w:val="00122060"/>
    <w:rsid w:val="00124B1D"/>
    <w:rsid w:val="00124E6A"/>
    <w:rsid w:val="00125540"/>
    <w:rsid w:val="001266F2"/>
    <w:rsid w:val="00126FF3"/>
    <w:rsid w:val="001336DB"/>
    <w:rsid w:val="00135637"/>
    <w:rsid w:val="00135733"/>
    <w:rsid w:val="0013607B"/>
    <w:rsid w:val="001364C8"/>
    <w:rsid w:val="00137D20"/>
    <w:rsid w:val="0014089D"/>
    <w:rsid w:val="0014285E"/>
    <w:rsid w:val="001439B4"/>
    <w:rsid w:val="001441B9"/>
    <w:rsid w:val="00146909"/>
    <w:rsid w:val="00146FDB"/>
    <w:rsid w:val="00147069"/>
    <w:rsid w:val="0014731B"/>
    <w:rsid w:val="001479F4"/>
    <w:rsid w:val="00150FB0"/>
    <w:rsid w:val="0015640F"/>
    <w:rsid w:val="001604B7"/>
    <w:rsid w:val="0016150C"/>
    <w:rsid w:val="0016265A"/>
    <w:rsid w:val="00163119"/>
    <w:rsid w:val="00163185"/>
    <w:rsid w:val="0016374B"/>
    <w:rsid w:val="00167DCA"/>
    <w:rsid w:val="001720CF"/>
    <w:rsid w:val="001728A2"/>
    <w:rsid w:val="001749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7595"/>
    <w:rsid w:val="0018790A"/>
    <w:rsid w:val="00192880"/>
    <w:rsid w:val="00192F45"/>
    <w:rsid w:val="00193FF0"/>
    <w:rsid w:val="00195546"/>
    <w:rsid w:val="00195F8A"/>
    <w:rsid w:val="0019606A"/>
    <w:rsid w:val="00196215"/>
    <w:rsid w:val="00196E7A"/>
    <w:rsid w:val="0019722F"/>
    <w:rsid w:val="001979E6"/>
    <w:rsid w:val="001A1DCF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C28"/>
    <w:rsid w:val="001C2566"/>
    <w:rsid w:val="001C4C8E"/>
    <w:rsid w:val="001C6C60"/>
    <w:rsid w:val="001D0243"/>
    <w:rsid w:val="001D065E"/>
    <w:rsid w:val="001D12B4"/>
    <w:rsid w:val="001D24E0"/>
    <w:rsid w:val="001D283D"/>
    <w:rsid w:val="001D2A70"/>
    <w:rsid w:val="001D33F2"/>
    <w:rsid w:val="001D4900"/>
    <w:rsid w:val="001D49E1"/>
    <w:rsid w:val="001D4C7F"/>
    <w:rsid w:val="001D7872"/>
    <w:rsid w:val="001E05DF"/>
    <w:rsid w:val="001E756A"/>
    <w:rsid w:val="001E76A0"/>
    <w:rsid w:val="001E7A8F"/>
    <w:rsid w:val="001F1C10"/>
    <w:rsid w:val="001F1EBB"/>
    <w:rsid w:val="001F2B6F"/>
    <w:rsid w:val="001F326D"/>
    <w:rsid w:val="001F3FD7"/>
    <w:rsid w:val="001F4B48"/>
    <w:rsid w:val="001F4F56"/>
    <w:rsid w:val="00200A51"/>
    <w:rsid w:val="002015DB"/>
    <w:rsid w:val="00201E62"/>
    <w:rsid w:val="002020EC"/>
    <w:rsid w:val="00203925"/>
    <w:rsid w:val="00203F78"/>
    <w:rsid w:val="00205485"/>
    <w:rsid w:val="00206284"/>
    <w:rsid w:val="00207EF6"/>
    <w:rsid w:val="00211037"/>
    <w:rsid w:val="002129B5"/>
    <w:rsid w:val="00212AA9"/>
    <w:rsid w:val="002151B4"/>
    <w:rsid w:val="00215B81"/>
    <w:rsid w:val="00215D0E"/>
    <w:rsid w:val="00216680"/>
    <w:rsid w:val="00217211"/>
    <w:rsid w:val="0022073E"/>
    <w:rsid w:val="00220B39"/>
    <w:rsid w:val="00220CB2"/>
    <w:rsid w:val="00220F3A"/>
    <w:rsid w:val="00221280"/>
    <w:rsid w:val="002218F0"/>
    <w:rsid w:val="00222005"/>
    <w:rsid w:val="002231E1"/>
    <w:rsid w:val="00224C36"/>
    <w:rsid w:val="002251DE"/>
    <w:rsid w:val="00226B9F"/>
    <w:rsid w:val="002279AD"/>
    <w:rsid w:val="00227DFB"/>
    <w:rsid w:val="00227DFE"/>
    <w:rsid w:val="00227F86"/>
    <w:rsid w:val="00230158"/>
    <w:rsid w:val="00232A23"/>
    <w:rsid w:val="002343EC"/>
    <w:rsid w:val="00236CF7"/>
    <w:rsid w:val="00240BB4"/>
    <w:rsid w:val="00241785"/>
    <w:rsid w:val="00241A7E"/>
    <w:rsid w:val="00242B10"/>
    <w:rsid w:val="00242C39"/>
    <w:rsid w:val="00242F62"/>
    <w:rsid w:val="0024362E"/>
    <w:rsid w:val="00244436"/>
    <w:rsid w:val="00250B7B"/>
    <w:rsid w:val="00250DEE"/>
    <w:rsid w:val="0025145F"/>
    <w:rsid w:val="002520CD"/>
    <w:rsid w:val="00252AD1"/>
    <w:rsid w:val="00252F2E"/>
    <w:rsid w:val="00253096"/>
    <w:rsid w:val="002533F7"/>
    <w:rsid w:val="00253F02"/>
    <w:rsid w:val="00254118"/>
    <w:rsid w:val="002543BF"/>
    <w:rsid w:val="00255338"/>
    <w:rsid w:val="002561E9"/>
    <w:rsid w:val="00256C7C"/>
    <w:rsid w:val="00260BA7"/>
    <w:rsid w:val="00263BCB"/>
    <w:rsid w:val="0026424A"/>
    <w:rsid w:val="00264C81"/>
    <w:rsid w:val="0027121D"/>
    <w:rsid w:val="002739FA"/>
    <w:rsid w:val="00273FF7"/>
    <w:rsid w:val="002746C5"/>
    <w:rsid w:val="002746E2"/>
    <w:rsid w:val="00275FC6"/>
    <w:rsid w:val="002809DB"/>
    <w:rsid w:val="00281841"/>
    <w:rsid w:val="0028373B"/>
    <w:rsid w:val="00286927"/>
    <w:rsid w:val="00290A1E"/>
    <w:rsid w:val="002914B5"/>
    <w:rsid w:val="002917C4"/>
    <w:rsid w:val="002917EF"/>
    <w:rsid w:val="00292137"/>
    <w:rsid w:val="00295733"/>
    <w:rsid w:val="00295E86"/>
    <w:rsid w:val="002A0DEA"/>
    <w:rsid w:val="002A244F"/>
    <w:rsid w:val="002A2B9C"/>
    <w:rsid w:val="002A4488"/>
    <w:rsid w:val="002A4762"/>
    <w:rsid w:val="002B0822"/>
    <w:rsid w:val="002B35CF"/>
    <w:rsid w:val="002B581C"/>
    <w:rsid w:val="002B5A44"/>
    <w:rsid w:val="002B63DD"/>
    <w:rsid w:val="002B69BD"/>
    <w:rsid w:val="002B6D11"/>
    <w:rsid w:val="002B7EEF"/>
    <w:rsid w:val="002B7F42"/>
    <w:rsid w:val="002C05A9"/>
    <w:rsid w:val="002C11BF"/>
    <w:rsid w:val="002C326D"/>
    <w:rsid w:val="002C6A1C"/>
    <w:rsid w:val="002C6F14"/>
    <w:rsid w:val="002D01C0"/>
    <w:rsid w:val="002D073F"/>
    <w:rsid w:val="002D09F5"/>
    <w:rsid w:val="002D0D0E"/>
    <w:rsid w:val="002D175D"/>
    <w:rsid w:val="002D2D06"/>
    <w:rsid w:val="002D4E67"/>
    <w:rsid w:val="002D539F"/>
    <w:rsid w:val="002D70DA"/>
    <w:rsid w:val="002E350B"/>
    <w:rsid w:val="002E3F8E"/>
    <w:rsid w:val="002E5A45"/>
    <w:rsid w:val="002E6460"/>
    <w:rsid w:val="002E7C39"/>
    <w:rsid w:val="002F0F48"/>
    <w:rsid w:val="002F1704"/>
    <w:rsid w:val="002F4627"/>
    <w:rsid w:val="002F6A33"/>
    <w:rsid w:val="002F6FB1"/>
    <w:rsid w:val="002F7886"/>
    <w:rsid w:val="002F7E0B"/>
    <w:rsid w:val="002F7F05"/>
    <w:rsid w:val="00300909"/>
    <w:rsid w:val="00302481"/>
    <w:rsid w:val="00302600"/>
    <w:rsid w:val="00302E16"/>
    <w:rsid w:val="00302E24"/>
    <w:rsid w:val="003033A3"/>
    <w:rsid w:val="003035C8"/>
    <w:rsid w:val="003040EB"/>
    <w:rsid w:val="00305D43"/>
    <w:rsid w:val="00305F95"/>
    <w:rsid w:val="00306590"/>
    <w:rsid w:val="00307A9B"/>
    <w:rsid w:val="00315A97"/>
    <w:rsid w:val="003163A2"/>
    <w:rsid w:val="0031662D"/>
    <w:rsid w:val="003201EB"/>
    <w:rsid w:val="00320778"/>
    <w:rsid w:val="00322B3C"/>
    <w:rsid w:val="00322E1D"/>
    <w:rsid w:val="00323879"/>
    <w:rsid w:val="00326C76"/>
    <w:rsid w:val="00326F1D"/>
    <w:rsid w:val="00327755"/>
    <w:rsid w:val="0033017E"/>
    <w:rsid w:val="00331133"/>
    <w:rsid w:val="00331243"/>
    <w:rsid w:val="0033302B"/>
    <w:rsid w:val="00335483"/>
    <w:rsid w:val="00336A72"/>
    <w:rsid w:val="00337FDA"/>
    <w:rsid w:val="003406CE"/>
    <w:rsid w:val="00340812"/>
    <w:rsid w:val="00340D63"/>
    <w:rsid w:val="00342D65"/>
    <w:rsid w:val="00342EAC"/>
    <w:rsid w:val="00344433"/>
    <w:rsid w:val="003448EC"/>
    <w:rsid w:val="00346605"/>
    <w:rsid w:val="00346AA5"/>
    <w:rsid w:val="003511F5"/>
    <w:rsid w:val="00351CE0"/>
    <w:rsid w:val="00352675"/>
    <w:rsid w:val="00353E1D"/>
    <w:rsid w:val="003556AE"/>
    <w:rsid w:val="003560BA"/>
    <w:rsid w:val="00357944"/>
    <w:rsid w:val="00357BAC"/>
    <w:rsid w:val="00357BCC"/>
    <w:rsid w:val="0036144D"/>
    <w:rsid w:val="00361475"/>
    <w:rsid w:val="003617C9"/>
    <w:rsid w:val="00363026"/>
    <w:rsid w:val="003645A3"/>
    <w:rsid w:val="00365269"/>
    <w:rsid w:val="003652FF"/>
    <w:rsid w:val="003667D6"/>
    <w:rsid w:val="00367360"/>
    <w:rsid w:val="00370CEA"/>
    <w:rsid w:val="00371987"/>
    <w:rsid w:val="00372E51"/>
    <w:rsid w:val="00375B3F"/>
    <w:rsid w:val="0037658D"/>
    <w:rsid w:val="00376EDA"/>
    <w:rsid w:val="0037720F"/>
    <w:rsid w:val="0037725B"/>
    <w:rsid w:val="003779D7"/>
    <w:rsid w:val="00383337"/>
    <w:rsid w:val="0038506C"/>
    <w:rsid w:val="00385B39"/>
    <w:rsid w:val="00386AC3"/>
    <w:rsid w:val="0039020E"/>
    <w:rsid w:val="00392134"/>
    <w:rsid w:val="003949C9"/>
    <w:rsid w:val="0039655C"/>
    <w:rsid w:val="00397430"/>
    <w:rsid w:val="003A00D3"/>
    <w:rsid w:val="003A0374"/>
    <w:rsid w:val="003A2790"/>
    <w:rsid w:val="003A517C"/>
    <w:rsid w:val="003A7E4D"/>
    <w:rsid w:val="003B1DD2"/>
    <w:rsid w:val="003B3FFD"/>
    <w:rsid w:val="003B4352"/>
    <w:rsid w:val="003B5C50"/>
    <w:rsid w:val="003B5D25"/>
    <w:rsid w:val="003B7496"/>
    <w:rsid w:val="003B75E0"/>
    <w:rsid w:val="003C1765"/>
    <w:rsid w:val="003C2087"/>
    <w:rsid w:val="003C22D2"/>
    <w:rsid w:val="003C24B5"/>
    <w:rsid w:val="003C4CBC"/>
    <w:rsid w:val="003C5A2A"/>
    <w:rsid w:val="003C6DD2"/>
    <w:rsid w:val="003D1533"/>
    <w:rsid w:val="003D1C03"/>
    <w:rsid w:val="003D1DB6"/>
    <w:rsid w:val="003D26C8"/>
    <w:rsid w:val="003D549A"/>
    <w:rsid w:val="003D60CA"/>
    <w:rsid w:val="003D625E"/>
    <w:rsid w:val="003D7CFB"/>
    <w:rsid w:val="003E1E70"/>
    <w:rsid w:val="003E212F"/>
    <w:rsid w:val="003E26AC"/>
    <w:rsid w:val="003E3745"/>
    <w:rsid w:val="003E3F5F"/>
    <w:rsid w:val="003E454E"/>
    <w:rsid w:val="003E590B"/>
    <w:rsid w:val="003E5C1A"/>
    <w:rsid w:val="003E66DA"/>
    <w:rsid w:val="003E68F1"/>
    <w:rsid w:val="003E7073"/>
    <w:rsid w:val="003E7A1F"/>
    <w:rsid w:val="003F0D0E"/>
    <w:rsid w:val="003F1AFF"/>
    <w:rsid w:val="003F4571"/>
    <w:rsid w:val="004006C7"/>
    <w:rsid w:val="00401ABA"/>
    <w:rsid w:val="004062B0"/>
    <w:rsid w:val="00406E8D"/>
    <w:rsid w:val="00407227"/>
    <w:rsid w:val="00410514"/>
    <w:rsid w:val="004113F9"/>
    <w:rsid w:val="00411CAA"/>
    <w:rsid w:val="0041449D"/>
    <w:rsid w:val="00414750"/>
    <w:rsid w:val="00414C14"/>
    <w:rsid w:val="004151FB"/>
    <w:rsid w:val="00415E93"/>
    <w:rsid w:val="004205E8"/>
    <w:rsid w:val="004240FB"/>
    <w:rsid w:val="0042445F"/>
    <w:rsid w:val="00424A9E"/>
    <w:rsid w:val="00426A69"/>
    <w:rsid w:val="00431B24"/>
    <w:rsid w:val="00431F2D"/>
    <w:rsid w:val="004328DE"/>
    <w:rsid w:val="0043296A"/>
    <w:rsid w:val="0043333B"/>
    <w:rsid w:val="00435188"/>
    <w:rsid w:val="004355B4"/>
    <w:rsid w:val="00435863"/>
    <w:rsid w:val="00436CA6"/>
    <w:rsid w:val="00441C6F"/>
    <w:rsid w:val="0044221B"/>
    <w:rsid w:val="004440E5"/>
    <w:rsid w:val="00444534"/>
    <w:rsid w:val="00444ED5"/>
    <w:rsid w:val="004456AB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688B"/>
    <w:rsid w:val="004575DB"/>
    <w:rsid w:val="004578DC"/>
    <w:rsid w:val="004600B2"/>
    <w:rsid w:val="00462BB9"/>
    <w:rsid w:val="0046346C"/>
    <w:rsid w:val="00463616"/>
    <w:rsid w:val="00463882"/>
    <w:rsid w:val="00464499"/>
    <w:rsid w:val="00466290"/>
    <w:rsid w:val="004666AD"/>
    <w:rsid w:val="004671AB"/>
    <w:rsid w:val="004767C3"/>
    <w:rsid w:val="00484DCB"/>
    <w:rsid w:val="00485520"/>
    <w:rsid w:val="00487A33"/>
    <w:rsid w:val="0049432F"/>
    <w:rsid w:val="00494785"/>
    <w:rsid w:val="00495D64"/>
    <w:rsid w:val="0049681E"/>
    <w:rsid w:val="00497797"/>
    <w:rsid w:val="004A0C97"/>
    <w:rsid w:val="004A1368"/>
    <w:rsid w:val="004A1C34"/>
    <w:rsid w:val="004A5DC2"/>
    <w:rsid w:val="004A6232"/>
    <w:rsid w:val="004A72F1"/>
    <w:rsid w:val="004B147A"/>
    <w:rsid w:val="004B253E"/>
    <w:rsid w:val="004B3EE6"/>
    <w:rsid w:val="004B59B5"/>
    <w:rsid w:val="004B5C83"/>
    <w:rsid w:val="004C1719"/>
    <w:rsid w:val="004C1BA7"/>
    <w:rsid w:val="004C2A7A"/>
    <w:rsid w:val="004C2FFF"/>
    <w:rsid w:val="004C339D"/>
    <w:rsid w:val="004C4FF6"/>
    <w:rsid w:val="004C60BE"/>
    <w:rsid w:val="004C66A7"/>
    <w:rsid w:val="004C68EB"/>
    <w:rsid w:val="004C6B99"/>
    <w:rsid w:val="004C6E9E"/>
    <w:rsid w:val="004D021F"/>
    <w:rsid w:val="004D054E"/>
    <w:rsid w:val="004D2269"/>
    <w:rsid w:val="004D385F"/>
    <w:rsid w:val="004D4D3B"/>
    <w:rsid w:val="004D5C5B"/>
    <w:rsid w:val="004D5CB7"/>
    <w:rsid w:val="004D6155"/>
    <w:rsid w:val="004D6633"/>
    <w:rsid w:val="004E096E"/>
    <w:rsid w:val="004E09B5"/>
    <w:rsid w:val="004E2C58"/>
    <w:rsid w:val="004E30E7"/>
    <w:rsid w:val="004E3AC7"/>
    <w:rsid w:val="004E3C9D"/>
    <w:rsid w:val="004E417F"/>
    <w:rsid w:val="004E4265"/>
    <w:rsid w:val="004E50FA"/>
    <w:rsid w:val="004E6838"/>
    <w:rsid w:val="004F1C06"/>
    <w:rsid w:val="004F29E6"/>
    <w:rsid w:val="004F2F74"/>
    <w:rsid w:val="004F43A7"/>
    <w:rsid w:val="004F4747"/>
    <w:rsid w:val="004F4D35"/>
    <w:rsid w:val="004F6EA1"/>
    <w:rsid w:val="00500D62"/>
    <w:rsid w:val="00502074"/>
    <w:rsid w:val="005020F5"/>
    <w:rsid w:val="00502A17"/>
    <w:rsid w:val="00503380"/>
    <w:rsid w:val="00504127"/>
    <w:rsid w:val="00507EAD"/>
    <w:rsid w:val="00510147"/>
    <w:rsid w:val="00510EE0"/>
    <w:rsid w:val="00510FC1"/>
    <w:rsid w:val="00511219"/>
    <w:rsid w:val="0051122A"/>
    <w:rsid w:val="00511394"/>
    <w:rsid w:val="00512DFD"/>
    <w:rsid w:val="005207C4"/>
    <w:rsid w:val="00521453"/>
    <w:rsid w:val="00525356"/>
    <w:rsid w:val="0052576B"/>
    <w:rsid w:val="00525A11"/>
    <w:rsid w:val="005265BA"/>
    <w:rsid w:val="00526741"/>
    <w:rsid w:val="00530766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895"/>
    <w:rsid w:val="00553B60"/>
    <w:rsid w:val="0055682D"/>
    <w:rsid w:val="00557684"/>
    <w:rsid w:val="00557E69"/>
    <w:rsid w:val="0056133C"/>
    <w:rsid w:val="00561524"/>
    <w:rsid w:val="00561C53"/>
    <w:rsid w:val="0056200F"/>
    <w:rsid w:val="00562288"/>
    <w:rsid w:val="00563C54"/>
    <w:rsid w:val="0056516C"/>
    <w:rsid w:val="00566DBA"/>
    <w:rsid w:val="00567262"/>
    <w:rsid w:val="00574885"/>
    <w:rsid w:val="0057495B"/>
    <w:rsid w:val="005754C1"/>
    <w:rsid w:val="00575E9B"/>
    <w:rsid w:val="005762C1"/>
    <w:rsid w:val="00577C22"/>
    <w:rsid w:val="00577F5D"/>
    <w:rsid w:val="00580C05"/>
    <w:rsid w:val="00582CFB"/>
    <w:rsid w:val="00584F3B"/>
    <w:rsid w:val="00585030"/>
    <w:rsid w:val="0058548B"/>
    <w:rsid w:val="00585A8E"/>
    <w:rsid w:val="00585D03"/>
    <w:rsid w:val="00586736"/>
    <w:rsid w:val="005877F3"/>
    <w:rsid w:val="00590576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359D"/>
    <w:rsid w:val="005A46D1"/>
    <w:rsid w:val="005A4FA0"/>
    <w:rsid w:val="005A68FB"/>
    <w:rsid w:val="005A775E"/>
    <w:rsid w:val="005A7F0F"/>
    <w:rsid w:val="005B101A"/>
    <w:rsid w:val="005B1107"/>
    <w:rsid w:val="005B1AC4"/>
    <w:rsid w:val="005B218B"/>
    <w:rsid w:val="005B3317"/>
    <w:rsid w:val="005B4512"/>
    <w:rsid w:val="005B4559"/>
    <w:rsid w:val="005B4B5E"/>
    <w:rsid w:val="005B546E"/>
    <w:rsid w:val="005B6BFE"/>
    <w:rsid w:val="005B7161"/>
    <w:rsid w:val="005B7481"/>
    <w:rsid w:val="005C3596"/>
    <w:rsid w:val="005C35ED"/>
    <w:rsid w:val="005C3827"/>
    <w:rsid w:val="005C5B60"/>
    <w:rsid w:val="005C73AA"/>
    <w:rsid w:val="005C7438"/>
    <w:rsid w:val="005D1668"/>
    <w:rsid w:val="005D2A12"/>
    <w:rsid w:val="005D523C"/>
    <w:rsid w:val="005D6754"/>
    <w:rsid w:val="005D78A0"/>
    <w:rsid w:val="005E2891"/>
    <w:rsid w:val="005E54BD"/>
    <w:rsid w:val="005E62A0"/>
    <w:rsid w:val="005E62CF"/>
    <w:rsid w:val="005E633D"/>
    <w:rsid w:val="005E767D"/>
    <w:rsid w:val="005F1655"/>
    <w:rsid w:val="005F16E5"/>
    <w:rsid w:val="005F1A84"/>
    <w:rsid w:val="005F1B6C"/>
    <w:rsid w:val="005F371E"/>
    <w:rsid w:val="005F6A84"/>
    <w:rsid w:val="00601445"/>
    <w:rsid w:val="00601AE6"/>
    <w:rsid w:val="006021DE"/>
    <w:rsid w:val="006022B0"/>
    <w:rsid w:val="00602A0F"/>
    <w:rsid w:val="00602A2C"/>
    <w:rsid w:val="00602DCF"/>
    <w:rsid w:val="00604EC9"/>
    <w:rsid w:val="00610341"/>
    <w:rsid w:val="0061242D"/>
    <w:rsid w:val="0061259E"/>
    <w:rsid w:val="00612BED"/>
    <w:rsid w:val="006133CA"/>
    <w:rsid w:val="006139C6"/>
    <w:rsid w:val="00614582"/>
    <w:rsid w:val="006149E7"/>
    <w:rsid w:val="00614C81"/>
    <w:rsid w:val="00616733"/>
    <w:rsid w:val="00616A1C"/>
    <w:rsid w:val="00617048"/>
    <w:rsid w:val="006210E5"/>
    <w:rsid w:val="006233B9"/>
    <w:rsid w:val="00623736"/>
    <w:rsid w:val="006248C4"/>
    <w:rsid w:val="006252D7"/>
    <w:rsid w:val="006257BF"/>
    <w:rsid w:val="00625B1D"/>
    <w:rsid w:val="00626039"/>
    <w:rsid w:val="00626062"/>
    <w:rsid w:val="00627A77"/>
    <w:rsid w:val="00630FDA"/>
    <w:rsid w:val="006326E0"/>
    <w:rsid w:val="006335BE"/>
    <w:rsid w:val="006336C1"/>
    <w:rsid w:val="00633BB0"/>
    <w:rsid w:val="00636810"/>
    <w:rsid w:val="00641064"/>
    <w:rsid w:val="006412C4"/>
    <w:rsid w:val="00644D08"/>
    <w:rsid w:val="00646E01"/>
    <w:rsid w:val="00650F0D"/>
    <w:rsid w:val="006510EA"/>
    <w:rsid w:val="00651181"/>
    <w:rsid w:val="006514D6"/>
    <w:rsid w:val="00652753"/>
    <w:rsid w:val="006529CA"/>
    <w:rsid w:val="00653271"/>
    <w:rsid w:val="00653309"/>
    <w:rsid w:val="0065332D"/>
    <w:rsid w:val="00657A7B"/>
    <w:rsid w:val="00657B65"/>
    <w:rsid w:val="00657DC9"/>
    <w:rsid w:val="00657EB4"/>
    <w:rsid w:val="00661598"/>
    <w:rsid w:val="00661F4A"/>
    <w:rsid w:val="006642DB"/>
    <w:rsid w:val="00664615"/>
    <w:rsid w:val="006651AA"/>
    <w:rsid w:val="00665D1C"/>
    <w:rsid w:val="00666857"/>
    <w:rsid w:val="00674D34"/>
    <w:rsid w:val="006758C9"/>
    <w:rsid w:val="00675CA5"/>
    <w:rsid w:val="00677D8C"/>
    <w:rsid w:val="0068040B"/>
    <w:rsid w:val="00681FD8"/>
    <w:rsid w:val="00684CB6"/>
    <w:rsid w:val="00685631"/>
    <w:rsid w:val="00687422"/>
    <w:rsid w:val="006876AF"/>
    <w:rsid w:val="00690161"/>
    <w:rsid w:val="0069029A"/>
    <w:rsid w:val="00692AFE"/>
    <w:rsid w:val="0069303E"/>
    <w:rsid w:val="006943BE"/>
    <w:rsid w:val="00694F09"/>
    <w:rsid w:val="00695AE0"/>
    <w:rsid w:val="00697A8E"/>
    <w:rsid w:val="006A01DF"/>
    <w:rsid w:val="006A2A8D"/>
    <w:rsid w:val="006A4104"/>
    <w:rsid w:val="006A4976"/>
    <w:rsid w:val="006A4B67"/>
    <w:rsid w:val="006A4C14"/>
    <w:rsid w:val="006A5021"/>
    <w:rsid w:val="006A5D2D"/>
    <w:rsid w:val="006A6452"/>
    <w:rsid w:val="006A6891"/>
    <w:rsid w:val="006A6B49"/>
    <w:rsid w:val="006A780E"/>
    <w:rsid w:val="006B1039"/>
    <w:rsid w:val="006B1667"/>
    <w:rsid w:val="006B35C9"/>
    <w:rsid w:val="006B4652"/>
    <w:rsid w:val="006B4DF1"/>
    <w:rsid w:val="006B6BCD"/>
    <w:rsid w:val="006B71D9"/>
    <w:rsid w:val="006C2EE1"/>
    <w:rsid w:val="006C3A54"/>
    <w:rsid w:val="006C4627"/>
    <w:rsid w:val="006C6725"/>
    <w:rsid w:val="006C699E"/>
    <w:rsid w:val="006C6B9C"/>
    <w:rsid w:val="006D2D28"/>
    <w:rsid w:val="006D31F7"/>
    <w:rsid w:val="006D4BEF"/>
    <w:rsid w:val="006D4C98"/>
    <w:rsid w:val="006D518E"/>
    <w:rsid w:val="006D64BC"/>
    <w:rsid w:val="006D656F"/>
    <w:rsid w:val="006D6B67"/>
    <w:rsid w:val="006D78D0"/>
    <w:rsid w:val="006D7C26"/>
    <w:rsid w:val="006E0550"/>
    <w:rsid w:val="006E101A"/>
    <w:rsid w:val="006E11C0"/>
    <w:rsid w:val="006E1A59"/>
    <w:rsid w:val="006E1B40"/>
    <w:rsid w:val="006E2C10"/>
    <w:rsid w:val="006E2EFE"/>
    <w:rsid w:val="006E46B9"/>
    <w:rsid w:val="006E5CC5"/>
    <w:rsid w:val="006E6888"/>
    <w:rsid w:val="006E69F8"/>
    <w:rsid w:val="006E71E7"/>
    <w:rsid w:val="006E751A"/>
    <w:rsid w:val="006F0069"/>
    <w:rsid w:val="006F0567"/>
    <w:rsid w:val="006F1C6B"/>
    <w:rsid w:val="006F2CDC"/>
    <w:rsid w:val="006F2CE5"/>
    <w:rsid w:val="006F3766"/>
    <w:rsid w:val="006F5671"/>
    <w:rsid w:val="006F5C81"/>
    <w:rsid w:val="006F70EC"/>
    <w:rsid w:val="007026AA"/>
    <w:rsid w:val="00703E68"/>
    <w:rsid w:val="0070533A"/>
    <w:rsid w:val="00707535"/>
    <w:rsid w:val="00707C61"/>
    <w:rsid w:val="007104C4"/>
    <w:rsid w:val="00710CEA"/>
    <w:rsid w:val="0071249F"/>
    <w:rsid w:val="00715A42"/>
    <w:rsid w:val="00717CAF"/>
    <w:rsid w:val="007215EB"/>
    <w:rsid w:val="007218B4"/>
    <w:rsid w:val="007219D0"/>
    <w:rsid w:val="00723C69"/>
    <w:rsid w:val="00727488"/>
    <w:rsid w:val="0073188F"/>
    <w:rsid w:val="007320B0"/>
    <w:rsid w:val="00737B98"/>
    <w:rsid w:val="00740A02"/>
    <w:rsid w:val="00742511"/>
    <w:rsid w:val="00742F7B"/>
    <w:rsid w:val="00743B5C"/>
    <w:rsid w:val="00745E54"/>
    <w:rsid w:val="007525A2"/>
    <w:rsid w:val="007528C4"/>
    <w:rsid w:val="0075297D"/>
    <w:rsid w:val="00752C15"/>
    <w:rsid w:val="007531B7"/>
    <w:rsid w:val="00756556"/>
    <w:rsid w:val="00761C82"/>
    <w:rsid w:val="00761F8C"/>
    <w:rsid w:val="00762818"/>
    <w:rsid w:val="00764774"/>
    <w:rsid w:val="007657CF"/>
    <w:rsid w:val="00767A64"/>
    <w:rsid w:val="007740BC"/>
    <w:rsid w:val="0077473B"/>
    <w:rsid w:val="007752B8"/>
    <w:rsid w:val="00776048"/>
    <w:rsid w:val="007777A2"/>
    <w:rsid w:val="00777E8E"/>
    <w:rsid w:val="00781178"/>
    <w:rsid w:val="00781DD1"/>
    <w:rsid w:val="007820C1"/>
    <w:rsid w:val="007828FE"/>
    <w:rsid w:val="0078594D"/>
    <w:rsid w:val="0078701F"/>
    <w:rsid w:val="00787C53"/>
    <w:rsid w:val="00790874"/>
    <w:rsid w:val="00790B31"/>
    <w:rsid w:val="00791B32"/>
    <w:rsid w:val="007939EC"/>
    <w:rsid w:val="00793CBA"/>
    <w:rsid w:val="00793D0F"/>
    <w:rsid w:val="0079429A"/>
    <w:rsid w:val="0079508D"/>
    <w:rsid w:val="0079647B"/>
    <w:rsid w:val="007A09BB"/>
    <w:rsid w:val="007A0F2F"/>
    <w:rsid w:val="007A243C"/>
    <w:rsid w:val="007A3494"/>
    <w:rsid w:val="007A5E0C"/>
    <w:rsid w:val="007A6BC6"/>
    <w:rsid w:val="007A6F5A"/>
    <w:rsid w:val="007B0230"/>
    <w:rsid w:val="007B0C42"/>
    <w:rsid w:val="007B1966"/>
    <w:rsid w:val="007B31D9"/>
    <w:rsid w:val="007B4672"/>
    <w:rsid w:val="007B68D7"/>
    <w:rsid w:val="007C0E7C"/>
    <w:rsid w:val="007C0FB6"/>
    <w:rsid w:val="007C220C"/>
    <w:rsid w:val="007C4ABB"/>
    <w:rsid w:val="007C5070"/>
    <w:rsid w:val="007C5B5D"/>
    <w:rsid w:val="007C66D8"/>
    <w:rsid w:val="007C6AE4"/>
    <w:rsid w:val="007C6D97"/>
    <w:rsid w:val="007C6E24"/>
    <w:rsid w:val="007D14C3"/>
    <w:rsid w:val="007D1852"/>
    <w:rsid w:val="007D2E19"/>
    <w:rsid w:val="007D4231"/>
    <w:rsid w:val="007D4497"/>
    <w:rsid w:val="007D45D8"/>
    <w:rsid w:val="007D5EF3"/>
    <w:rsid w:val="007E0334"/>
    <w:rsid w:val="007E0CFD"/>
    <w:rsid w:val="007E265C"/>
    <w:rsid w:val="007E36D0"/>
    <w:rsid w:val="007E41EE"/>
    <w:rsid w:val="007E478D"/>
    <w:rsid w:val="007E6602"/>
    <w:rsid w:val="007E71D0"/>
    <w:rsid w:val="007F060F"/>
    <w:rsid w:val="007F369A"/>
    <w:rsid w:val="007F451F"/>
    <w:rsid w:val="007F59AD"/>
    <w:rsid w:val="007F73AD"/>
    <w:rsid w:val="008000AB"/>
    <w:rsid w:val="0080091E"/>
    <w:rsid w:val="008010BA"/>
    <w:rsid w:val="00801AA4"/>
    <w:rsid w:val="00803106"/>
    <w:rsid w:val="008053D2"/>
    <w:rsid w:val="008054D5"/>
    <w:rsid w:val="00805B87"/>
    <w:rsid w:val="00805CF8"/>
    <w:rsid w:val="008063C7"/>
    <w:rsid w:val="00806AA5"/>
    <w:rsid w:val="00812C14"/>
    <w:rsid w:val="00813029"/>
    <w:rsid w:val="00813175"/>
    <w:rsid w:val="00814AB0"/>
    <w:rsid w:val="008150D0"/>
    <w:rsid w:val="00815159"/>
    <w:rsid w:val="008200B7"/>
    <w:rsid w:val="008205CD"/>
    <w:rsid w:val="00821350"/>
    <w:rsid w:val="00823211"/>
    <w:rsid w:val="00823FF9"/>
    <w:rsid w:val="00825E79"/>
    <w:rsid w:val="00827C56"/>
    <w:rsid w:val="00831A3C"/>
    <w:rsid w:val="00831F42"/>
    <w:rsid w:val="00832537"/>
    <w:rsid w:val="008340D8"/>
    <w:rsid w:val="00834484"/>
    <w:rsid w:val="008347B1"/>
    <w:rsid w:val="00834C6C"/>
    <w:rsid w:val="00834CC0"/>
    <w:rsid w:val="00834DE9"/>
    <w:rsid w:val="00837096"/>
    <w:rsid w:val="00840BDE"/>
    <w:rsid w:val="008410FB"/>
    <w:rsid w:val="008412EF"/>
    <w:rsid w:val="00841F59"/>
    <w:rsid w:val="00842977"/>
    <w:rsid w:val="00843574"/>
    <w:rsid w:val="008452C2"/>
    <w:rsid w:val="008456B2"/>
    <w:rsid w:val="00845C6F"/>
    <w:rsid w:val="00845FC6"/>
    <w:rsid w:val="00846863"/>
    <w:rsid w:val="0085062D"/>
    <w:rsid w:val="00850AEE"/>
    <w:rsid w:val="0085145D"/>
    <w:rsid w:val="008544F6"/>
    <w:rsid w:val="008557BB"/>
    <w:rsid w:val="00856D5A"/>
    <w:rsid w:val="00860C13"/>
    <w:rsid w:val="00861276"/>
    <w:rsid w:val="00861A60"/>
    <w:rsid w:val="008626E8"/>
    <w:rsid w:val="00863154"/>
    <w:rsid w:val="008636DB"/>
    <w:rsid w:val="00863E9F"/>
    <w:rsid w:val="00866E77"/>
    <w:rsid w:val="00867983"/>
    <w:rsid w:val="00867D7C"/>
    <w:rsid w:val="008710D0"/>
    <w:rsid w:val="008729F6"/>
    <w:rsid w:val="008741A6"/>
    <w:rsid w:val="0087446F"/>
    <w:rsid w:val="0087498B"/>
    <w:rsid w:val="00874BEE"/>
    <w:rsid w:val="0087530F"/>
    <w:rsid w:val="008777D7"/>
    <w:rsid w:val="008814D3"/>
    <w:rsid w:val="00881E93"/>
    <w:rsid w:val="00882278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449F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7F8"/>
    <w:rsid w:val="008B0349"/>
    <w:rsid w:val="008B0607"/>
    <w:rsid w:val="008B16D6"/>
    <w:rsid w:val="008B2CC8"/>
    <w:rsid w:val="008B3438"/>
    <w:rsid w:val="008B7119"/>
    <w:rsid w:val="008B748F"/>
    <w:rsid w:val="008B759B"/>
    <w:rsid w:val="008C3D40"/>
    <w:rsid w:val="008C4888"/>
    <w:rsid w:val="008C6F1B"/>
    <w:rsid w:val="008C6FF4"/>
    <w:rsid w:val="008C7A4C"/>
    <w:rsid w:val="008D0EB0"/>
    <w:rsid w:val="008D5FCD"/>
    <w:rsid w:val="008D66C4"/>
    <w:rsid w:val="008E1BD8"/>
    <w:rsid w:val="008E2057"/>
    <w:rsid w:val="008E351A"/>
    <w:rsid w:val="008E4DB1"/>
    <w:rsid w:val="008E56D8"/>
    <w:rsid w:val="008E6CDF"/>
    <w:rsid w:val="008E73B5"/>
    <w:rsid w:val="008E78B8"/>
    <w:rsid w:val="008F007D"/>
    <w:rsid w:val="008F46CF"/>
    <w:rsid w:val="008F6047"/>
    <w:rsid w:val="008F6899"/>
    <w:rsid w:val="008F7B73"/>
    <w:rsid w:val="009000FA"/>
    <w:rsid w:val="00901375"/>
    <w:rsid w:val="00901A3C"/>
    <w:rsid w:val="0090209E"/>
    <w:rsid w:val="00904E8A"/>
    <w:rsid w:val="009055A1"/>
    <w:rsid w:val="00911F2D"/>
    <w:rsid w:val="009125DA"/>
    <w:rsid w:val="0091574D"/>
    <w:rsid w:val="009168F8"/>
    <w:rsid w:val="00917510"/>
    <w:rsid w:val="009209A0"/>
    <w:rsid w:val="0092346E"/>
    <w:rsid w:val="0092455C"/>
    <w:rsid w:val="00924C30"/>
    <w:rsid w:val="00925466"/>
    <w:rsid w:val="0092569C"/>
    <w:rsid w:val="00926348"/>
    <w:rsid w:val="009265BA"/>
    <w:rsid w:val="009268A5"/>
    <w:rsid w:val="00927D41"/>
    <w:rsid w:val="009324D4"/>
    <w:rsid w:val="00933195"/>
    <w:rsid w:val="00934994"/>
    <w:rsid w:val="00935C49"/>
    <w:rsid w:val="0093635F"/>
    <w:rsid w:val="00937414"/>
    <w:rsid w:val="009422AF"/>
    <w:rsid w:val="00943F4F"/>
    <w:rsid w:val="00944370"/>
    <w:rsid w:val="0094443A"/>
    <w:rsid w:val="00944EF6"/>
    <w:rsid w:val="009460AC"/>
    <w:rsid w:val="00950A3D"/>
    <w:rsid w:val="009521FB"/>
    <w:rsid w:val="00952BDA"/>
    <w:rsid w:val="009539D7"/>
    <w:rsid w:val="0095414A"/>
    <w:rsid w:val="00954205"/>
    <w:rsid w:val="00956E47"/>
    <w:rsid w:val="00956EB9"/>
    <w:rsid w:val="00957E26"/>
    <w:rsid w:val="0096089B"/>
    <w:rsid w:val="00960D24"/>
    <w:rsid w:val="009623AD"/>
    <w:rsid w:val="00963786"/>
    <w:rsid w:val="00965EB5"/>
    <w:rsid w:val="009666AA"/>
    <w:rsid w:val="00972BFE"/>
    <w:rsid w:val="00973518"/>
    <w:rsid w:val="00973776"/>
    <w:rsid w:val="009749CB"/>
    <w:rsid w:val="00974A0A"/>
    <w:rsid w:val="00975377"/>
    <w:rsid w:val="00976F05"/>
    <w:rsid w:val="009816E7"/>
    <w:rsid w:val="009821F5"/>
    <w:rsid w:val="0098230D"/>
    <w:rsid w:val="009831AF"/>
    <w:rsid w:val="0098330C"/>
    <w:rsid w:val="009840CE"/>
    <w:rsid w:val="00984E2B"/>
    <w:rsid w:val="009875CC"/>
    <w:rsid w:val="00987B12"/>
    <w:rsid w:val="009905DA"/>
    <w:rsid w:val="00991198"/>
    <w:rsid w:val="009911E7"/>
    <w:rsid w:val="00991F6D"/>
    <w:rsid w:val="00992AB2"/>
    <w:rsid w:val="0099429A"/>
    <w:rsid w:val="00994DAA"/>
    <w:rsid w:val="00996168"/>
    <w:rsid w:val="009976A1"/>
    <w:rsid w:val="00997B6C"/>
    <w:rsid w:val="00997F4C"/>
    <w:rsid w:val="009A0F85"/>
    <w:rsid w:val="009A1AD6"/>
    <w:rsid w:val="009A2838"/>
    <w:rsid w:val="009A2B0A"/>
    <w:rsid w:val="009A3172"/>
    <w:rsid w:val="009A462A"/>
    <w:rsid w:val="009A4F60"/>
    <w:rsid w:val="009A7012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AE7"/>
    <w:rsid w:val="009C233F"/>
    <w:rsid w:val="009C2B43"/>
    <w:rsid w:val="009C4213"/>
    <w:rsid w:val="009C5585"/>
    <w:rsid w:val="009C58B3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83F"/>
    <w:rsid w:val="009D5B08"/>
    <w:rsid w:val="009D61B7"/>
    <w:rsid w:val="009E04E7"/>
    <w:rsid w:val="009E0B85"/>
    <w:rsid w:val="009E0DB3"/>
    <w:rsid w:val="009E0F74"/>
    <w:rsid w:val="009E1552"/>
    <w:rsid w:val="009E26F4"/>
    <w:rsid w:val="009E5D34"/>
    <w:rsid w:val="009E600A"/>
    <w:rsid w:val="009E72EA"/>
    <w:rsid w:val="009F02C5"/>
    <w:rsid w:val="009F0F46"/>
    <w:rsid w:val="009F0F79"/>
    <w:rsid w:val="009F2D7B"/>
    <w:rsid w:val="009F5108"/>
    <w:rsid w:val="009F53EF"/>
    <w:rsid w:val="009F561D"/>
    <w:rsid w:val="009F795B"/>
    <w:rsid w:val="00A005A0"/>
    <w:rsid w:val="00A0193F"/>
    <w:rsid w:val="00A01C61"/>
    <w:rsid w:val="00A0269E"/>
    <w:rsid w:val="00A0566B"/>
    <w:rsid w:val="00A07FD3"/>
    <w:rsid w:val="00A108F0"/>
    <w:rsid w:val="00A11F66"/>
    <w:rsid w:val="00A12D9B"/>
    <w:rsid w:val="00A134E5"/>
    <w:rsid w:val="00A139F1"/>
    <w:rsid w:val="00A13CCB"/>
    <w:rsid w:val="00A1552F"/>
    <w:rsid w:val="00A15822"/>
    <w:rsid w:val="00A15B77"/>
    <w:rsid w:val="00A15C35"/>
    <w:rsid w:val="00A166A8"/>
    <w:rsid w:val="00A176EB"/>
    <w:rsid w:val="00A21151"/>
    <w:rsid w:val="00A228B9"/>
    <w:rsid w:val="00A23622"/>
    <w:rsid w:val="00A251C0"/>
    <w:rsid w:val="00A30D3F"/>
    <w:rsid w:val="00A353A4"/>
    <w:rsid w:val="00A3555A"/>
    <w:rsid w:val="00A37D4B"/>
    <w:rsid w:val="00A40ECB"/>
    <w:rsid w:val="00A41156"/>
    <w:rsid w:val="00A41FBB"/>
    <w:rsid w:val="00A43445"/>
    <w:rsid w:val="00A44908"/>
    <w:rsid w:val="00A4497A"/>
    <w:rsid w:val="00A44C6A"/>
    <w:rsid w:val="00A455D1"/>
    <w:rsid w:val="00A46137"/>
    <w:rsid w:val="00A466E4"/>
    <w:rsid w:val="00A46EB4"/>
    <w:rsid w:val="00A50313"/>
    <w:rsid w:val="00A50598"/>
    <w:rsid w:val="00A506B3"/>
    <w:rsid w:val="00A51E58"/>
    <w:rsid w:val="00A53A61"/>
    <w:rsid w:val="00A547CF"/>
    <w:rsid w:val="00A5658F"/>
    <w:rsid w:val="00A56749"/>
    <w:rsid w:val="00A56C2B"/>
    <w:rsid w:val="00A571C8"/>
    <w:rsid w:val="00A57DA9"/>
    <w:rsid w:val="00A57FC9"/>
    <w:rsid w:val="00A61A0C"/>
    <w:rsid w:val="00A61E9D"/>
    <w:rsid w:val="00A648C5"/>
    <w:rsid w:val="00A649F4"/>
    <w:rsid w:val="00A64A87"/>
    <w:rsid w:val="00A65AF1"/>
    <w:rsid w:val="00A669A7"/>
    <w:rsid w:val="00A67440"/>
    <w:rsid w:val="00A7040D"/>
    <w:rsid w:val="00A70E88"/>
    <w:rsid w:val="00A7136F"/>
    <w:rsid w:val="00A71BCF"/>
    <w:rsid w:val="00A75273"/>
    <w:rsid w:val="00A7552D"/>
    <w:rsid w:val="00A836AD"/>
    <w:rsid w:val="00A86078"/>
    <w:rsid w:val="00A90E3B"/>
    <w:rsid w:val="00A92123"/>
    <w:rsid w:val="00A93171"/>
    <w:rsid w:val="00A93847"/>
    <w:rsid w:val="00A963CE"/>
    <w:rsid w:val="00A97401"/>
    <w:rsid w:val="00AA10DE"/>
    <w:rsid w:val="00AA17C4"/>
    <w:rsid w:val="00AA4D91"/>
    <w:rsid w:val="00AA5850"/>
    <w:rsid w:val="00AA6E96"/>
    <w:rsid w:val="00AA7547"/>
    <w:rsid w:val="00AA79AB"/>
    <w:rsid w:val="00AA7A68"/>
    <w:rsid w:val="00AB2099"/>
    <w:rsid w:val="00AB2574"/>
    <w:rsid w:val="00AB2F56"/>
    <w:rsid w:val="00AB40E3"/>
    <w:rsid w:val="00AB4ADD"/>
    <w:rsid w:val="00AB68CE"/>
    <w:rsid w:val="00AB6A82"/>
    <w:rsid w:val="00AB72F1"/>
    <w:rsid w:val="00AB7F7F"/>
    <w:rsid w:val="00AC0B9C"/>
    <w:rsid w:val="00AC3BF6"/>
    <w:rsid w:val="00AC3FB5"/>
    <w:rsid w:val="00AC4B95"/>
    <w:rsid w:val="00AC6C42"/>
    <w:rsid w:val="00AC7136"/>
    <w:rsid w:val="00AD3F60"/>
    <w:rsid w:val="00AD4538"/>
    <w:rsid w:val="00AD4E07"/>
    <w:rsid w:val="00AD681C"/>
    <w:rsid w:val="00AE0049"/>
    <w:rsid w:val="00AE1528"/>
    <w:rsid w:val="00AE15D9"/>
    <w:rsid w:val="00AE20E8"/>
    <w:rsid w:val="00AE515C"/>
    <w:rsid w:val="00AE541B"/>
    <w:rsid w:val="00AE544D"/>
    <w:rsid w:val="00AE55D9"/>
    <w:rsid w:val="00AE708F"/>
    <w:rsid w:val="00AF0950"/>
    <w:rsid w:val="00AF4041"/>
    <w:rsid w:val="00AF4198"/>
    <w:rsid w:val="00AF5950"/>
    <w:rsid w:val="00AF636E"/>
    <w:rsid w:val="00AF6701"/>
    <w:rsid w:val="00AF6AC2"/>
    <w:rsid w:val="00B00A01"/>
    <w:rsid w:val="00B0224A"/>
    <w:rsid w:val="00B026D3"/>
    <w:rsid w:val="00B03215"/>
    <w:rsid w:val="00B034E4"/>
    <w:rsid w:val="00B06090"/>
    <w:rsid w:val="00B07F44"/>
    <w:rsid w:val="00B13600"/>
    <w:rsid w:val="00B15D7B"/>
    <w:rsid w:val="00B17B30"/>
    <w:rsid w:val="00B24724"/>
    <w:rsid w:val="00B251B4"/>
    <w:rsid w:val="00B26498"/>
    <w:rsid w:val="00B27291"/>
    <w:rsid w:val="00B276AC"/>
    <w:rsid w:val="00B309AC"/>
    <w:rsid w:val="00B31F29"/>
    <w:rsid w:val="00B33AF5"/>
    <w:rsid w:val="00B350A9"/>
    <w:rsid w:val="00B353D0"/>
    <w:rsid w:val="00B35C2A"/>
    <w:rsid w:val="00B369D6"/>
    <w:rsid w:val="00B407D1"/>
    <w:rsid w:val="00B41665"/>
    <w:rsid w:val="00B425FC"/>
    <w:rsid w:val="00B4294D"/>
    <w:rsid w:val="00B439A7"/>
    <w:rsid w:val="00B43E5B"/>
    <w:rsid w:val="00B44E9E"/>
    <w:rsid w:val="00B45734"/>
    <w:rsid w:val="00B471F8"/>
    <w:rsid w:val="00B5146B"/>
    <w:rsid w:val="00B523D6"/>
    <w:rsid w:val="00B5284A"/>
    <w:rsid w:val="00B542AE"/>
    <w:rsid w:val="00B571FF"/>
    <w:rsid w:val="00B60C91"/>
    <w:rsid w:val="00B60E04"/>
    <w:rsid w:val="00B614F7"/>
    <w:rsid w:val="00B61808"/>
    <w:rsid w:val="00B621D1"/>
    <w:rsid w:val="00B624B3"/>
    <w:rsid w:val="00B645AF"/>
    <w:rsid w:val="00B66100"/>
    <w:rsid w:val="00B70624"/>
    <w:rsid w:val="00B71199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167"/>
    <w:rsid w:val="00B80904"/>
    <w:rsid w:val="00B80A0E"/>
    <w:rsid w:val="00B824B9"/>
    <w:rsid w:val="00B82898"/>
    <w:rsid w:val="00B83E78"/>
    <w:rsid w:val="00B84FE7"/>
    <w:rsid w:val="00B8500D"/>
    <w:rsid w:val="00B85650"/>
    <w:rsid w:val="00B9008A"/>
    <w:rsid w:val="00B903EF"/>
    <w:rsid w:val="00B90E39"/>
    <w:rsid w:val="00B91BB9"/>
    <w:rsid w:val="00B92511"/>
    <w:rsid w:val="00B92A57"/>
    <w:rsid w:val="00B93E5E"/>
    <w:rsid w:val="00B93F93"/>
    <w:rsid w:val="00B95E17"/>
    <w:rsid w:val="00B9610C"/>
    <w:rsid w:val="00B9729C"/>
    <w:rsid w:val="00BA0A84"/>
    <w:rsid w:val="00BA0ADC"/>
    <w:rsid w:val="00BA26BB"/>
    <w:rsid w:val="00BA365E"/>
    <w:rsid w:val="00BA3767"/>
    <w:rsid w:val="00BA6DBA"/>
    <w:rsid w:val="00BA7072"/>
    <w:rsid w:val="00BB0AB3"/>
    <w:rsid w:val="00BB0D6A"/>
    <w:rsid w:val="00BB302F"/>
    <w:rsid w:val="00BB3EE9"/>
    <w:rsid w:val="00BB4052"/>
    <w:rsid w:val="00BB432B"/>
    <w:rsid w:val="00BB5091"/>
    <w:rsid w:val="00BB5724"/>
    <w:rsid w:val="00BB694C"/>
    <w:rsid w:val="00BC0DE0"/>
    <w:rsid w:val="00BC0EE8"/>
    <w:rsid w:val="00BC14AB"/>
    <w:rsid w:val="00BC2B83"/>
    <w:rsid w:val="00BC4BFF"/>
    <w:rsid w:val="00BC51F2"/>
    <w:rsid w:val="00BC5A5C"/>
    <w:rsid w:val="00BC7DE2"/>
    <w:rsid w:val="00BD1218"/>
    <w:rsid w:val="00BD123A"/>
    <w:rsid w:val="00BD167A"/>
    <w:rsid w:val="00BD17A5"/>
    <w:rsid w:val="00BD3FFD"/>
    <w:rsid w:val="00BD439A"/>
    <w:rsid w:val="00BD4638"/>
    <w:rsid w:val="00BD7299"/>
    <w:rsid w:val="00BD7874"/>
    <w:rsid w:val="00BE1011"/>
    <w:rsid w:val="00BE155D"/>
    <w:rsid w:val="00BE16CB"/>
    <w:rsid w:val="00BE1B32"/>
    <w:rsid w:val="00BE40BB"/>
    <w:rsid w:val="00BE489E"/>
    <w:rsid w:val="00BE5729"/>
    <w:rsid w:val="00BE7BA6"/>
    <w:rsid w:val="00BF098B"/>
    <w:rsid w:val="00BF0D20"/>
    <w:rsid w:val="00BF2333"/>
    <w:rsid w:val="00BF2638"/>
    <w:rsid w:val="00BF321D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616"/>
    <w:rsid w:val="00C070E6"/>
    <w:rsid w:val="00C0738F"/>
    <w:rsid w:val="00C07971"/>
    <w:rsid w:val="00C07C6A"/>
    <w:rsid w:val="00C102CC"/>
    <w:rsid w:val="00C105BB"/>
    <w:rsid w:val="00C10BD9"/>
    <w:rsid w:val="00C11B24"/>
    <w:rsid w:val="00C14453"/>
    <w:rsid w:val="00C15F72"/>
    <w:rsid w:val="00C178E8"/>
    <w:rsid w:val="00C17CE0"/>
    <w:rsid w:val="00C17F6A"/>
    <w:rsid w:val="00C20019"/>
    <w:rsid w:val="00C20C27"/>
    <w:rsid w:val="00C22076"/>
    <w:rsid w:val="00C22486"/>
    <w:rsid w:val="00C22B03"/>
    <w:rsid w:val="00C24B0A"/>
    <w:rsid w:val="00C31B42"/>
    <w:rsid w:val="00C33C88"/>
    <w:rsid w:val="00C35F7F"/>
    <w:rsid w:val="00C37B0F"/>
    <w:rsid w:val="00C37C49"/>
    <w:rsid w:val="00C4171C"/>
    <w:rsid w:val="00C4325D"/>
    <w:rsid w:val="00C439EA"/>
    <w:rsid w:val="00C4492E"/>
    <w:rsid w:val="00C4560B"/>
    <w:rsid w:val="00C45BFE"/>
    <w:rsid w:val="00C462F7"/>
    <w:rsid w:val="00C47DCF"/>
    <w:rsid w:val="00C51EDD"/>
    <w:rsid w:val="00C529D7"/>
    <w:rsid w:val="00C53425"/>
    <w:rsid w:val="00C54C56"/>
    <w:rsid w:val="00C6012D"/>
    <w:rsid w:val="00C60222"/>
    <w:rsid w:val="00C65075"/>
    <w:rsid w:val="00C6693F"/>
    <w:rsid w:val="00C66B83"/>
    <w:rsid w:val="00C66D06"/>
    <w:rsid w:val="00C700B7"/>
    <w:rsid w:val="00C70179"/>
    <w:rsid w:val="00C710CD"/>
    <w:rsid w:val="00C7210E"/>
    <w:rsid w:val="00C73C9E"/>
    <w:rsid w:val="00C75B92"/>
    <w:rsid w:val="00C76017"/>
    <w:rsid w:val="00C76A0A"/>
    <w:rsid w:val="00C816BF"/>
    <w:rsid w:val="00C81D09"/>
    <w:rsid w:val="00C81F80"/>
    <w:rsid w:val="00C82E63"/>
    <w:rsid w:val="00C839D3"/>
    <w:rsid w:val="00C849DC"/>
    <w:rsid w:val="00C85DB3"/>
    <w:rsid w:val="00C86281"/>
    <w:rsid w:val="00C86ABA"/>
    <w:rsid w:val="00C87F9A"/>
    <w:rsid w:val="00C91E46"/>
    <w:rsid w:val="00C92FCC"/>
    <w:rsid w:val="00C93159"/>
    <w:rsid w:val="00C93F8B"/>
    <w:rsid w:val="00C948FD"/>
    <w:rsid w:val="00C949D2"/>
    <w:rsid w:val="00C94E71"/>
    <w:rsid w:val="00C96469"/>
    <w:rsid w:val="00C9765E"/>
    <w:rsid w:val="00CA0BAF"/>
    <w:rsid w:val="00CA0D4B"/>
    <w:rsid w:val="00CA3CE2"/>
    <w:rsid w:val="00CA4120"/>
    <w:rsid w:val="00CA5EC2"/>
    <w:rsid w:val="00CA64D6"/>
    <w:rsid w:val="00CA6BFC"/>
    <w:rsid w:val="00CA7BBF"/>
    <w:rsid w:val="00CB109A"/>
    <w:rsid w:val="00CB231B"/>
    <w:rsid w:val="00CB382B"/>
    <w:rsid w:val="00CB54A2"/>
    <w:rsid w:val="00CB7D39"/>
    <w:rsid w:val="00CC22C1"/>
    <w:rsid w:val="00CC7034"/>
    <w:rsid w:val="00CD12A6"/>
    <w:rsid w:val="00CD293A"/>
    <w:rsid w:val="00CD47E1"/>
    <w:rsid w:val="00CD77E5"/>
    <w:rsid w:val="00CE10F1"/>
    <w:rsid w:val="00CE377A"/>
    <w:rsid w:val="00CE3EE8"/>
    <w:rsid w:val="00CE4092"/>
    <w:rsid w:val="00CE473E"/>
    <w:rsid w:val="00CE65DD"/>
    <w:rsid w:val="00CE7A45"/>
    <w:rsid w:val="00CF00D0"/>
    <w:rsid w:val="00CF2C94"/>
    <w:rsid w:val="00CF338E"/>
    <w:rsid w:val="00CF4715"/>
    <w:rsid w:val="00CF5872"/>
    <w:rsid w:val="00CF58C6"/>
    <w:rsid w:val="00CF61DA"/>
    <w:rsid w:val="00D006B9"/>
    <w:rsid w:val="00D00A97"/>
    <w:rsid w:val="00D011D4"/>
    <w:rsid w:val="00D0259B"/>
    <w:rsid w:val="00D03BE1"/>
    <w:rsid w:val="00D04A2B"/>
    <w:rsid w:val="00D0525E"/>
    <w:rsid w:val="00D06470"/>
    <w:rsid w:val="00D06D3D"/>
    <w:rsid w:val="00D06EDD"/>
    <w:rsid w:val="00D11548"/>
    <w:rsid w:val="00D128D9"/>
    <w:rsid w:val="00D138CC"/>
    <w:rsid w:val="00D15EF4"/>
    <w:rsid w:val="00D16BB0"/>
    <w:rsid w:val="00D17353"/>
    <w:rsid w:val="00D179C1"/>
    <w:rsid w:val="00D21A66"/>
    <w:rsid w:val="00D22622"/>
    <w:rsid w:val="00D227F7"/>
    <w:rsid w:val="00D2380C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8F2"/>
    <w:rsid w:val="00D35B63"/>
    <w:rsid w:val="00D4096B"/>
    <w:rsid w:val="00D418A0"/>
    <w:rsid w:val="00D425B7"/>
    <w:rsid w:val="00D42D5E"/>
    <w:rsid w:val="00D43D6A"/>
    <w:rsid w:val="00D440F1"/>
    <w:rsid w:val="00D442A1"/>
    <w:rsid w:val="00D460F4"/>
    <w:rsid w:val="00D47279"/>
    <w:rsid w:val="00D47798"/>
    <w:rsid w:val="00D500E1"/>
    <w:rsid w:val="00D5100D"/>
    <w:rsid w:val="00D51A64"/>
    <w:rsid w:val="00D53163"/>
    <w:rsid w:val="00D5346A"/>
    <w:rsid w:val="00D53F0A"/>
    <w:rsid w:val="00D54E80"/>
    <w:rsid w:val="00D5581E"/>
    <w:rsid w:val="00D55B4A"/>
    <w:rsid w:val="00D566BD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70E0E"/>
    <w:rsid w:val="00D71702"/>
    <w:rsid w:val="00D718EB"/>
    <w:rsid w:val="00D7201E"/>
    <w:rsid w:val="00D7381B"/>
    <w:rsid w:val="00D739F3"/>
    <w:rsid w:val="00D73FE5"/>
    <w:rsid w:val="00D74557"/>
    <w:rsid w:val="00D755D2"/>
    <w:rsid w:val="00D772AA"/>
    <w:rsid w:val="00D8071A"/>
    <w:rsid w:val="00D81924"/>
    <w:rsid w:val="00D83310"/>
    <w:rsid w:val="00D86840"/>
    <w:rsid w:val="00D86E4A"/>
    <w:rsid w:val="00D86EE1"/>
    <w:rsid w:val="00D90E05"/>
    <w:rsid w:val="00D92EA5"/>
    <w:rsid w:val="00D93E48"/>
    <w:rsid w:val="00D93E81"/>
    <w:rsid w:val="00DA0B33"/>
    <w:rsid w:val="00DA1FE4"/>
    <w:rsid w:val="00DA2F3A"/>
    <w:rsid w:val="00DA5A49"/>
    <w:rsid w:val="00DB0631"/>
    <w:rsid w:val="00DB2091"/>
    <w:rsid w:val="00DB5E0C"/>
    <w:rsid w:val="00DB6BF6"/>
    <w:rsid w:val="00DB79DC"/>
    <w:rsid w:val="00DB7BFF"/>
    <w:rsid w:val="00DC25BE"/>
    <w:rsid w:val="00DC278F"/>
    <w:rsid w:val="00DC4330"/>
    <w:rsid w:val="00DC5FA6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E4749"/>
    <w:rsid w:val="00DF083D"/>
    <w:rsid w:val="00DF31EA"/>
    <w:rsid w:val="00DF3918"/>
    <w:rsid w:val="00DF45B6"/>
    <w:rsid w:val="00DF5A40"/>
    <w:rsid w:val="00DF5BAB"/>
    <w:rsid w:val="00DF5E25"/>
    <w:rsid w:val="00DF74BA"/>
    <w:rsid w:val="00E02539"/>
    <w:rsid w:val="00E03F6F"/>
    <w:rsid w:val="00E0405A"/>
    <w:rsid w:val="00E11F25"/>
    <w:rsid w:val="00E12775"/>
    <w:rsid w:val="00E12997"/>
    <w:rsid w:val="00E129A5"/>
    <w:rsid w:val="00E15AC5"/>
    <w:rsid w:val="00E1621F"/>
    <w:rsid w:val="00E20FD4"/>
    <w:rsid w:val="00E23AF9"/>
    <w:rsid w:val="00E25071"/>
    <w:rsid w:val="00E27631"/>
    <w:rsid w:val="00E30ADA"/>
    <w:rsid w:val="00E321D5"/>
    <w:rsid w:val="00E32E33"/>
    <w:rsid w:val="00E33547"/>
    <w:rsid w:val="00E33794"/>
    <w:rsid w:val="00E34570"/>
    <w:rsid w:val="00E40A74"/>
    <w:rsid w:val="00E40EEC"/>
    <w:rsid w:val="00E41F1C"/>
    <w:rsid w:val="00E45FFD"/>
    <w:rsid w:val="00E4729F"/>
    <w:rsid w:val="00E52EF2"/>
    <w:rsid w:val="00E5324B"/>
    <w:rsid w:val="00E54A60"/>
    <w:rsid w:val="00E55467"/>
    <w:rsid w:val="00E57CEB"/>
    <w:rsid w:val="00E60143"/>
    <w:rsid w:val="00E60172"/>
    <w:rsid w:val="00E60E8F"/>
    <w:rsid w:val="00E64265"/>
    <w:rsid w:val="00E723B7"/>
    <w:rsid w:val="00E72587"/>
    <w:rsid w:val="00E72CD2"/>
    <w:rsid w:val="00E73B80"/>
    <w:rsid w:val="00E74273"/>
    <w:rsid w:val="00E74AD3"/>
    <w:rsid w:val="00E74C26"/>
    <w:rsid w:val="00E750DE"/>
    <w:rsid w:val="00E764A4"/>
    <w:rsid w:val="00E76FD5"/>
    <w:rsid w:val="00E771F3"/>
    <w:rsid w:val="00E77A80"/>
    <w:rsid w:val="00E809CB"/>
    <w:rsid w:val="00E80C67"/>
    <w:rsid w:val="00E816CE"/>
    <w:rsid w:val="00E81757"/>
    <w:rsid w:val="00E81D19"/>
    <w:rsid w:val="00E82CF3"/>
    <w:rsid w:val="00E830B7"/>
    <w:rsid w:val="00E83BBB"/>
    <w:rsid w:val="00E8764B"/>
    <w:rsid w:val="00E87709"/>
    <w:rsid w:val="00E879F6"/>
    <w:rsid w:val="00E91109"/>
    <w:rsid w:val="00E91422"/>
    <w:rsid w:val="00E91CE1"/>
    <w:rsid w:val="00E92288"/>
    <w:rsid w:val="00E93AA2"/>
    <w:rsid w:val="00E93E6D"/>
    <w:rsid w:val="00E95DFF"/>
    <w:rsid w:val="00EA00C9"/>
    <w:rsid w:val="00EA0C09"/>
    <w:rsid w:val="00EA2C94"/>
    <w:rsid w:val="00EA319D"/>
    <w:rsid w:val="00EA4571"/>
    <w:rsid w:val="00EA5725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EE4"/>
    <w:rsid w:val="00EB7571"/>
    <w:rsid w:val="00EB78BA"/>
    <w:rsid w:val="00EB7D4A"/>
    <w:rsid w:val="00EC1339"/>
    <w:rsid w:val="00EC29B8"/>
    <w:rsid w:val="00EC2BAA"/>
    <w:rsid w:val="00EC2DDC"/>
    <w:rsid w:val="00EC3C98"/>
    <w:rsid w:val="00EC533C"/>
    <w:rsid w:val="00EC67AE"/>
    <w:rsid w:val="00EC6BE5"/>
    <w:rsid w:val="00EC7713"/>
    <w:rsid w:val="00ED104F"/>
    <w:rsid w:val="00ED208C"/>
    <w:rsid w:val="00ED25A5"/>
    <w:rsid w:val="00ED28D8"/>
    <w:rsid w:val="00ED3424"/>
    <w:rsid w:val="00ED48AF"/>
    <w:rsid w:val="00ED4B55"/>
    <w:rsid w:val="00ED5E0B"/>
    <w:rsid w:val="00ED6BC4"/>
    <w:rsid w:val="00EE16EB"/>
    <w:rsid w:val="00EE2985"/>
    <w:rsid w:val="00EE4DB6"/>
    <w:rsid w:val="00EE549A"/>
    <w:rsid w:val="00EE5DB1"/>
    <w:rsid w:val="00EE788C"/>
    <w:rsid w:val="00EE7F94"/>
    <w:rsid w:val="00EF37FB"/>
    <w:rsid w:val="00EF46DD"/>
    <w:rsid w:val="00EF591E"/>
    <w:rsid w:val="00EF6902"/>
    <w:rsid w:val="00EF7FDC"/>
    <w:rsid w:val="00F00736"/>
    <w:rsid w:val="00F007D1"/>
    <w:rsid w:val="00F03C5B"/>
    <w:rsid w:val="00F101DA"/>
    <w:rsid w:val="00F1082F"/>
    <w:rsid w:val="00F11EAE"/>
    <w:rsid w:val="00F11ED4"/>
    <w:rsid w:val="00F12E52"/>
    <w:rsid w:val="00F151E8"/>
    <w:rsid w:val="00F156C7"/>
    <w:rsid w:val="00F1578E"/>
    <w:rsid w:val="00F162EE"/>
    <w:rsid w:val="00F163C4"/>
    <w:rsid w:val="00F213AB"/>
    <w:rsid w:val="00F24D7B"/>
    <w:rsid w:val="00F25EDE"/>
    <w:rsid w:val="00F2702C"/>
    <w:rsid w:val="00F27559"/>
    <w:rsid w:val="00F279D8"/>
    <w:rsid w:val="00F30FFC"/>
    <w:rsid w:val="00F31F81"/>
    <w:rsid w:val="00F326DD"/>
    <w:rsid w:val="00F340D1"/>
    <w:rsid w:val="00F345BA"/>
    <w:rsid w:val="00F35910"/>
    <w:rsid w:val="00F40273"/>
    <w:rsid w:val="00F40544"/>
    <w:rsid w:val="00F413EB"/>
    <w:rsid w:val="00F41795"/>
    <w:rsid w:val="00F42559"/>
    <w:rsid w:val="00F426D2"/>
    <w:rsid w:val="00F431D4"/>
    <w:rsid w:val="00F44802"/>
    <w:rsid w:val="00F453E1"/>
    <w:rsid w:val="00F46E44"/>
    <w:rsid w:val="00F4728B"/>
    <w:rsid w:val="00F478D3"/>
    <w:rsid w:val="00F50483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391F"/>
    <w:rsid w:val="00F739BA"/>
    <w:rsid w:val="00F739E1"/>
    <w:rsid w:val="00F751A1"/>
    <w:rsid w:val="00F75357"/>
    <w:rsid w:val="00F769FE"/>
    <w:rsid w:val="00F76B03"/>
    <w:rsid w:val="00F77B11"/>
    <w:rsid w:val="00F77B83"/>
    <w:rsid w:val="00F77D92"/>
    <w:rsid w:val="00F8126B"/>
    <w:rsid w:val="00F82D90"/>
    <w:rsid w:val="00F838FF"/>
    <w:rsid w:val="00F859C6"/>
    <w:rsid w:val="00F864B8"/>
    <w:rsid w:val="00F87C4E"/>
    <w:rsid w:val="00F9156E"/>
    <w:rsid w:val="00F92014"/>
    <w:rsid w:val="00F92542"/>
    <w:rsid w:val="00F94113"/>
    <w:rsid w:val="00F94658"/>
    <w:rsid w:val="00F96E70"/>
    <w:rsid w:val="00F97BAC"/>
    <w:rsid w:val="00F97F2E"/>
    <w:rsid w:val="00FA004E"/>
    <w:rsid w:val="00FA07B8"/>
    <w:rsid w:val="00FA1593"/>
    <w:rsid w:val="00FA3842"/>
    <w:rsid w:val="00FA3BD1"/>
    <w:rsid w:val="00FB0432"/>
    <w:rsid w:val="00FB0CEB"/>
    <w:rsid w:val="00FB1E5D"/>
    <w:rsid w:val="00FB1F84"/>
    <w:rsid w:val="00FB24D6"/>
    <w:rsid w:val="00FB4764"/>
    <w:rsid w:val="00FB4A0C"/>
    <w:rsid w:val="00FB62DF"/>
    <w:rsid w:val="00FB7FD9"/>
    <w:rsid w:val="00FC009E"/>
    <w:rsid w:val="00FC04F3"/>
    <w:rsid w:val="00FC0936"/>
    <w:rsid w:val="00FC3199"/>
    <w:rsid w:val="00FC3FF7"/>
    <w:rsid w:val="00FC46CC"/>
    <w:rsid w:val="00FC6446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464A"/>
    <w:rsid w:val="00FF1489"/>
    <w:rsid w:val="00FF2156"/>
    <w:rsid w:val="00FF2C2D"/>
    <w:rsid w:val="00FF3DF7"/>
    <w:rsid w:val="00FF5C5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67B17E-1522-45DA-B686-3C0EB0F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Puest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uiPriority w:val="99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uiPriority w:val="99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6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7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sonormal0">
    <w:name w:val="msonormal"/>
    <w:basedOn w:val="Normal"/>
    <w:rsid w:val="00924C30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924C30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924C30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924C30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924C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"/>
    <w:rsid w:val="00924C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"/>
    <w:rsid w:val="00924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924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"/>
    <w:rsid w:val="00924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924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p0">
    <w:name w:val="p0"/>
    <w:basedOn w:val="Normal"/>
    <w:rsid w:val="00E81757"/>
    <w:pPr>
      <w:keepLines/>
      <w:spacing w:before="240"/>
      <w:jc w:val="both"/>
    </w:pPr>
    <w:rPr>
      <w:rFonts w:ascii="Arial" w:hAnsi="Arial"/>
      <w:szCs w:val="20"/>
      <w:lang w:val="es-ES_tradnl" w:eastAsia="es-ES"/>
    </w:rPr>
  </w:style>
  <w:style w:type="paragraph" w:customStyle="1" w:styleId="p02">
    <w:name w:val="p02"/>
    <w:basedOn w:val="Normal"/>
    <w:next w:val="p0"/>
    <w:rsid w:val="00E81757"/>
    <w:pPr>
      <w:keepLines/>
      <w:spacing w:before="240"/>
      <w:ind w:right="11"/>
      <w:jc w:val="both"/>
    </w:pPr>
    <w:rPr>
      <w:rFonts w:ascii="Univers" w:hAnsi="Univers"/>
      <w:color w:val="0000FF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ITAEE\III-2020\Gr&#225;ficas_ITAEE_3er_T%20_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TAEE\III-2020\Gr&#225;ficas_Contribuci&#243;n_ITAEE_3er_T_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9525" cap="flat" cmpd="sng" algn="ctr">
          <a:solidFill>
            <a:schemeClr val="bg1">
              <a:lumMod val="50000"/>
            </a:schemeClr>
          </a:solidFill>
          <a:prstDash val="solid"/>
          <a:round/>
        </a:ln>
        <a:effectLst/>
        <a:sp3d contourW="9525">
          <a:contourClr>
            <a:schemeClr val="bg1">
              <a:lumMod val="50000"/>
            </a:schemeClr>
          </a:contourClr>
        </a:sp3d>
      </c:spPr>
    </c:floor>
    <c:sideWall>
      <c:thickness val="0"/>
      <c:spPr>
        <a:noFill/>
        <a:ln>
          <a:solidFill>
            <a:schemeClr val="bg1">
              <a:lumMod val="50000"/>
            </a:schemeClr>
          </a:solidFill>
        </a:ln>
        <a:effectLst/>
        <a:sp3d>
          <a:contourClr>
            <a:schemeClr val="bg1">
              <a:lumMod val="50000"/>
            </a:schemeClr>
          </a:contourClr>
        </a:sp3d>
      </c:spPr>
    </c:sideWall>
    <c:backWall>
      <c:thickness val="0"/>
      <c:spPr>
        <a:noFill/>
        <a:ln>
          <a:solidFill>
            <a:schemeClr val="bg1">
              <a:lumMod val="50000"/>
            </a:schemeClr>
          </a:solidFill>
        </a:ln>
        <a:effectLst/>
        <a:sp3d>
          <a:contourClr>
            <a:schemeClr val="bg1">
              <a:lumMod val="50000"/>
            </a:schemeClr>
          </a:contourClr>
        </a:sp3d>
      </c:spPr>
    </c:backWall>
    <c:plotArea>
      <c:layout>
        <c:manualLayout>
          <c:layoutTarget val="inner"/>
          <c:xMode val="edge"/>
          <c:yMode val="edge"/>
          <c:x val="0.38165295815295813"/>
          <c:y val="3.8766788766788768E-2"/>
          <c:w val="0.55954329004329006"/>
          <c:h val="0.90195526695526695"/>
        </c:manualLayout>
      </c:layout>
      <c:bar3DChart>
        <c:barDir val="bar"/>
        <c:grouping val="clustered"/>
        <c:varyColors val="0"/>
        <c:ser>
          <c:idx val="0"/>
          <c:order val="0"/>
          <c:tx>
            <c:v>Total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60B-4EDA-8B18-C513E4232537}"/>
              </c:ext>
            </c:extLst>
          </c:dPt>
          <c:dPt>
            <c:idx val="1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60B-4EDA-8B18-C513E4232537}"/>
              </c:ext>
            </c:extLst>
          </c:dPt>
          <c:dPt>
            <c:idx val="12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60B-4EDA-8B18-C513E4232537}"/>
              </c:ext>
            </c:extLst>
          </c:dPt>
          <c:dPt>
            <c:idx val="13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60B-4EDA-8B18-C513E4232537}"/>
              </c:ext>
            </c:extLst>
          </c:dPt>
          <c:dPt>
            <c:idx val="14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60B-4EDA-8B18-C513E4232537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60B-4EDA-8B18-C513E4232537}"/>
              </c:ext>
            </c:extLst>
          </c:dPt>
          <c:dPt>
            <c:idx val="16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0800" dist="50800" dir="5400000" algn="ctr" rotWithShape="0">
                  <a:schemeClr val="accent5">
                    <a:lumMod val="20000"/>
                    <a:lumOff val="80000"/>
                  </a:scheme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60B-4EDA-8B18-C513E4232537}"/>
              </c:ext>
            </c:extLst>
          </c:dPt>
          <c:dPt>
            <c:idx val="17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60B-4EDA-8B18-C513E4232537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60B-4EDA-8B18-C513E4232537}"/>
              </c:ext>
            </c:extLst>
          </c:dPt>
          <c:dPt>
            <c:idx val="19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560B-4EDA-8B18-C513E4232537}"/>
              </c:ext>
            </c:extLst>
          </c:dPt>
          <c:dPt>
            <c:idx val="2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560B-4EDA-8B18-C513E4232537}"/>
              </c:ext>
            </c:extLst>
          </c:dPt>
          <c:dPt>
            <c:idx val="32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560B-4EDA-8B18-C513E4232537}"/>
              </c:ext>
            </c:extLst>
          </c:dPt>
          <c:dLbls>
            <c:dLbl>
              <c:idx val="0"/>
              <c:layout>
                <c:manualLayout>
                  <c:x val="-6.1289682539681619E-3"/>
                  <c:y val="-6.05422222222222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277777777777685E-2"/>
                  <c:y val="-3.52422222222232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782142857142856E-2"/>
                  <c:y val="-2.01799999999999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787301587301586E-2"/>
                  <c:y val="-2.7200000000001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368326118326036E-2"/>
                  <c:y val="-5.5422355422355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358333333333241E-2"/>
                  <c:y val="-3.5242222222222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8317460317460319E-2"/>
                  <c:y val="-3.52425352425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357503607503607E-2"/>
                  <c:y val="-3.52425352425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560B-4EDA-8B18-C513E4232537}"/>
                </c:ext>
                <c:ext xmlns:c15="http://schemas.microsoft.com/office/drawing/2012/chart" uri="{CE6537A1-D6FC-4f65-9D91-7224C49458BB}">
                  <c15:layout>
                    <c:manualLayout>
                      <c:w val="0.10232864357864357"/>
                      <c:h val="3.1348373848373849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2.3362698412698321E-2"/>
                  <c:y val="-7.0200000000000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0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2905122655122654E-2"/>
                  <c:y val="-3.52425352425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3900595238095334E-2"/>
                  <c:y val="-3.52411111111121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60B-4EDA-8B18-C513E4232537}"/>
                </c:ext>
                <c:ext xmlns:c15="http://schemas.microsoft.com/office/drawing/2012/chart" uri="{CE6537A1-D6FC-4f65-9D91-7224C49458BB}">
                  <c15:layout>
                    <c:manualLayout>
                      <c:w val="0.10691017316017316"/>
                      <c:h val="3.487262737262737E-2"/>
                    </c:manualLayout>
                  </c15:layout>
                </c:ext>
              </c:extLst>
            </c:dLbl>
            <c:dLbl>
              <c:idx val="11"/>
              <c:layout>
                <c:manualLayout>
                  <c:x val="-2.2905483405483405E-2"/>
                  <c:y val="-3.52425352425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906204906204906E-2"/>
                  <c:y val="-3.52425352425358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29072871572870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2907287157287157E-2"/>
                  <c:y val="-3.52425352425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2906565656565656E-2"/>
                  <c:y val="-3.52425352425358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2.2907287157287157E-2"/>
                  <c:y val="-3.52425352425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1.8323593073593075E-2"/>
                  <c:y val="-3.52425352425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2.290692640692649E-2"/>
                  <c:y val="-3.52425352425358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323953823953739E-2"/>
                  <c:y val="-3.52425352425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832431457431449E-2"/>
                  <c:y val="-3.52425352425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2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8324314574314573E-2"/>
                  <c:y val="-3.52425352425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1.8325036075036074E-2"/>
                  <c:y val="-3.52425352425358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1.8325396825396825E-2"/>
                  <c:y val="-3.52425352425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4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8325757575757575E-2"/>
                  <c:y val="-3.52425352425355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1.8782936507936509E-2"/>
                  <c:y val="-3.5242222222222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6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1.8783730158730159E-2"/>
                  <c:y val="-3.5242222222222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1.8783730158730159E-2"/>
                  <c:y val="-3.5242222222222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8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28"/>
              <c:layout>
                <c:manualLayout>
                  <c:x val="-1.8783730158730066E-2"/>
                  <c:y val="-3.5242222222222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-1.8326118326118409E-2"/>
                  <c:y val="-3.52425352425354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A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30"/>
              <c:layout>
                <c:manualLayout>
                  <c:x val="-1.8783730158730066E-2"/>
                  <c:y val="-3.5242222222222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31"/>
              <c:layout>
                <c:manualLayout>
                  <c:x val="-2.3823015873015874E-2"/>
                  <c:y val="-3.5242222222222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C-560B-4EDA-8B18-C513E4232537}"/>
                </c:ext>
                <c:ext xmlns:c15="http://schemas.microsoft.com/office/drawing/2012/chart" uri="{CE6537A1-D6FC-4f65-9D91-7224C49458BB}"/>
              </c:extLst>
            </c:dLbl>
            <c:dLbl>
              <c:idx val="32"/>
              <c:layout>
                <c:manualLayout>
                  <c:x val="-1.8782936507936509E-2"/>
                  <c:y val="-4.84044444444444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560B-4EDA-8B18-C513E4232537}"/>
                </c:ex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'Variaciones por EF'!$B$6:$B$38</c:f>
              <c:strCache>
                <c:ptCount val="33"/>
                <c:pt idx="0">
                  <c:v>Tabasco</c:v>
                </c:pt>
                <c:pt idx="1">
                  <c:v>Zacatecas</c:v>
                </c:pt>
                <c:pt idx="2">
                  <c:v>Baja California</c:v>
                </c:pt>
                <c:pt idx="3">
                  <c:v>Chiapas</c:v>
                </c:pt>
                <c:pt idx="4">
                  <c:v>Aguascalientes</c:v>
                </c:pt>
                <c:pt idx="5">
                  <c:v>Chihuahua</c:v>
                </c:pt>
                <c:pt idx="6">
                  <c:v>San Luis Potosí</c:v>
                </c:pt>
                <c:pt idx="7">
                  <c:v>Guanajuato</c:v>
                </c:pt>
                <c:pt idx="8">
                  <c:v>Oaxaca</c:v>
                </c:pt>
                <c:pt idx="9">
                  <c:v>Sinaloa</c:v>
                </c:pt>
                <c:pt idx="10">
                  <c:v>Durango</c:v>
                </c:pt>
                <c:pt idx="11">
                  <c:v>Michoacán de Ocampo</c:v>
                </c:pt>
                <c:pt idx="12">
                  <c:v>Jalisco</c:v>
                </c:pt>
                <c:pt idx="13">
                  <c:v>México</c:v>
                </c:pt>
                <c:pt idx="14">
                  <c:v>Sonora</c:v>
                </c:pt>
                <c:pt idx="15">
                  <c:v>Nuevo León</c:v>
                </c:pt>
                <c:pt idx="16">
                  <c:v>Querétaro</c:v>
                </c:pt>
                <c:pt idx="17">
                  <c:v>Nacional</c:v>
                </c:pt>
                <c:pt idx="18">
                  <c:v>Tamaulipas</c:v>
                </c:pt>
                <c:pt idx="19">
                  <c:v>Yucatán</c:v>
                </c:pt>
                <c:pt idx="20">
                  <c:v>Guerrero</c:v>
                </c:pt>
                <c:pt idx="21">
                  <c:v>Nayarit</c:v>
                </c:pt>
                <c:pt idx="22">
                  <c:v>Veracruz de Ignacio de la Llave</c:v>
                </c:pt>
                <c:pt idx="23">
                  <c:v>Puebla</c:v>
                </c:pt>
                <c:pt idx="24">
                  <c:v>Campeche</c:v>
                </c:pt>
                <c:pt idx="25">
                  <c:v>Coahuila de Zaragoza</c:v>
                </c:pt>
                <c:pt idx="26">
                  <c:v>Morelos</c:v>
                </c:pt>
                <c:pt idx="27">
                  <c:v>Colima</c:v>
                </c:pt>
                <c:pt idx="28">
                  <c:v>Ciudad de México</c:v>
                </c:pt>
                <c:pt idx="29">
                  <c:v>Hidalgo</c:v>
                </c:pt>
                <c:pt idx="30">
                  <c:v>Tlaxcala</c:v>
                </c:pt>
                <c:pt idx="31">
                  <c:v>Baja California Sur</c:v>
                </c:pt>
                <c:pt idx="32">
                  <c:v>Quintana Roo</c:v>
                </c:pt>
              </c:strCache>
            </c:strRef>
          </c:cat>
          <c:val>
            <c:numRef>
              <c:f>'Variaciones por EF'!$C$6:$C$38</c:f>
              <c:numCache>
                <c:formatCode>0.0</c:formatCode>
                <c:ptCount val="33"/>
                <c:pt idx="0">
                  <c:v>-9.5118418472779354E-2</c:v>
                </c:pt>
                <c:pt idx="1">
                  <c:v>-0.69948861193655887</c:v>
                </c:pt>
                <c:pt idx="2">
                  <c:v>-1.2550682430737794</c:v>
                </c:pt>
                <c:pt idx="3">
                  <c:v>-2.7038223287724037</c:v>
                </c:pt>
                <c:pt idx="4">
                  <c:v>-3.8069859525339353</c:v>
                </c:pt>
                <c:pt idx="5">
                  <c:v>-4.0388143492469339</c:v>
                </c:pt>
                <c:pt idx="6">
                  <c:v>-4.9069246538225428</c:v>
                </c:pt>
                <c:pt idx="7">
                  <c:v>-5.0153472885798465</c:v>
                </c:pt>
                <c:pt idx="8">
                  <c:v>-5.2130124071038466</c:v>
                </c:pt>
                <c:pt idx="9">
                  <c:v>-5.3220484201485903</c:v>
                </c:pt>
                <c:pt idx="10">
                  <c:v>-5.461093074783534</c:v>
                </c:pt>
                <c:pt idx="11">
                  <c:v>-6.8276312926405467</c:v>
                </c:pt>
                <c:pt idx="12">
                  <c:v>-6.9134982997133108</c:v>
                </c:pt>
                <c:pt idx="13">
                  <c:v>-7.063874923969351</c:v>
                </c:pt>
                <c:pt idx="14">
                  <c:v>-7.1951862184353388</c:v>
                </c:pt>
                <c:pt idx="15">
                  <c:v>-7.9533218001068491</c:v>
                </c:pt>
                <c:pt idx="16">
                  <c:v>-8.3261172232715097</c:v>
                </c:pt>
                <c:pt idx="17">
                  <c:v>-8.346153043052567</c:v>
                </c:pt>
                <c:pt idx="18">
                  <c:v>-8.7560038773884088</c:v>
                </c:pt>
                <c:pt idx="19">
                  <c:v>-9.234573050435273</c:v>
                </c:pt>
                <c:pt idx="20">
                  <c:v>-9.3002455974524025</c:v>
                </c:pt>
                <c:pt idx="21">
                  <c:v>-9.8066616185054585</c:v>
                </c:pt>
                <c:pt idx="22">
                  <c:v>-9.8621762841932252</c:v>
                </c:pt>
                <c:pt idx="23">
                  <c:v>-9.9059344456429983</c:v>
                </c:pt>
                <c:pt idx="24">
                  <c:v>-10.310815846806918</c:v>
                </c:pt>
                <c:pt idx="25">
                  <c:v>-10.425487153641441</c:v>
                </c:pt>
                <c:pt idx="26">
                  <c:v>-11.063006404928302</c:v>
                </c:pt>
                <c:pt idx="27">
                  <c:v>-11.272939160267384</c:v>
                </c:pt>
                <c:pt idx="28">
                  <c:v>-11.355214666045001</c:v>
                </c:pt>
                <c:pt idx="29">
                  <c:v>-11.914100316316706</c:v>
                </c:pt>
                <c:pt idx="30">
                  <c:v>-14.31752301151505</c:v>
                </c:pt>
                <c:pt idx="31">
                  <c:v>-24.653460262607112</c:v>
                </c:pt>
                <c:pt idx="32">
                  <c:v>-28.988211980553075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D-560B-4EDA-8B18-C513E4232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shape val="cylinder"/>
        <c:axId val="-1543868432"/>
        <c:axId val="-1543862448"/>
        <c:axId val="0"/>
      </c:bar3DChart>
      <c:catAx>
        <c:axId val="-15438684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50" b="0" i="0" u="none" strike="noStrike" kern="1200" baseline="0">
                <a:solidFill>
                  <a:schemeClr val="tx1"/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es-MX"/>
          </a:p>
        </c:txPr>
        <c:crossAx val="-1543862448"/>
        <c:crossesAt val="0"/>
        <c:auto val="1"/>
        <c:lblAlgn val="ctr"/>
        <c:lblOffset val="100"/>
        <c:noMultiLvlLbl val="0"/>
      </c:catAx>
      <c:valAx>
        <c:axId val="-1543862448"/>
        <c:scaling>
          <c:orientation val="minMax"/>
          <c:max val="0"/>
          <c:min val="-40"/>
        </c:scaling>
        <c:delete val="0"/>
        <c:axPos val="b"/>
        <c:numFmt formatCode="#,##0.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es-MX"/>
          </a:p>
        </c:txPr>
        <c:crossAx val="-1543868432"/>
        <c:crosses val="autoZero"/>
        <c:crossBetween val="between"/>
        <c:majorUnit val="10"/>
        <c:minorUnit val="1"/>
      </c:valAx>
      <c:spPr>
        <a:noFill/>
        <a:ln>
          <a:noFill/>
        </a:ln>
        <a:effectLst>
          <a:outerShdw blurRad="50800" dist="12700" dir="5400000" algn="ctr" rotWithShape="0">
            <a:schemeClr val="bg1"/>
          </a:outerShdw>
        </a:effectLst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>
      <a:outerShdw blurRad="50800" dist="12700" dir="5400000" algn="ctr" rotWithShape="0">
        <a:schemeClr val="tx1"/>
      </a:outerShdw>
    </a:effectLst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ln>
          <a:solidFill>
            <a:prstClr val="black"/>
          </a:solidFill>
        </a:ln>
      </c:spPr>
    </c:floor>
    <c:sideWall>
      <c:thickness val="0"/>
      <c:spPr>
        <a:ln>
          <a:solidFill>
            <a:schemeClr val="tx1"/>
          </a:solidFill>
        </a:ln>
      </c:spPr>
    </c:sideWall>
    <c:backWall>
      <c:thickness val="0"/>
      <c:spPr>
        <a:ln>
          <a:solidFill>
            <a:schemeClr val="tx1"/>
          </a:solidFill>
        </a:ln>
      </c:spPr>
    </c:backWall>
    <c:plotArea>
      <c:layout>
        <c:manualLayout>
          <c:layoutTarget val="inner"/>
          <c:xMode val="edge"/>
          <c:yMode val="edge"/>
          <c:x val="0.25571990606887252"/>
          <c:y val="2.6248914112154062E-2"/>
          <c:w val="0.7110656007115187"/>
          <c:h val="0.90685324011126556"/>
        </c:manualLayout>
      </c:layout>
      <c:bar3D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2448015873015966E-2"/>
                  <c:y val="4.0551111111112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6123412698412603E-2"/>
                  <c:y val="1.2300000000001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2187301587301588E-2"/>
                  <c:y val="1.2311111111111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520634920634923E-2"/>
                  <c:y val="2.0386666666667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1086507936508027E-2"/>
                  <c:y val="2.54322222222222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FF5-4B87-A328-5D4805A8E674}"/>
                </c:ext>
                <c:ext xmlns:c15="http://schemas.microsoft.com/office/drawing/2012/chart" uri="{CE6537A1-D6FC-4f65-9D91-7224C49458BB}">
                  <c15:layout>
                    <c:manualLayout>
                      <c:w val="0.10386327561327562"/>
                      <c:h val="2.7824120324120325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5.0635515873015784E-2"/>
                  <c:y val="2.2858888888888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FF5-4B87-A328-5D4805A8E674}"/>
                </c:ext>
                <c:ext xmlns:c15="http://schemas.microsoft.com/office/drawing/2012/chart" uri="{CE6537A1-D6FC-4f65-9D91-7224C49458BB}">
                  <c15:layout>
                    <c:manualLayout>
                      <c:w val="0.10844480519480519"/>
                      <c:h val="3.1348373848373849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5.3890079365079363E-2"/>
                  <c:y val="5.5519999999999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2239682539682447E-2"/>
                  <c:y val="7.05777777777777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2244841269841455E-2"/>
                  <c:y val="7.05722222222232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FF5-4B87-A328-5D4805A8E674}"/>
                </c:ext>
                <c:ext xmlns:c15="http://schemas.microsoft.com/office/drawing/2012/chart" uri="{CE6537A1-D6FC-4f65-9D91-7224C49458BB}">
                  <c15:layout>
                    <c:manualLayout>
                      <c:w val="0.10386327561327562"/>
                      <c:h val="3.487262737262737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5.6664862914863001E-2"/>
                  <c:y val="5.03552003552016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3734487734487732E-2"/>
                  <c:y val="5.0335775335775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4265297906602256E-2"/>
                  <c:y val="3.52688888888888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2802737520128824E-2"/>
                  <c:y val="5.0313333333333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5.4454508856682862E-2"/>
                  <c:y val="3.52622222222222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5.6478663446054844E-2"/>
                  <c:y val="3.52622222222222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5.3480158730158732E-2"/>
                  <c:y val="5.54466666666666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5.8520238095238097E-2"/>
                  <c:y val="3.52688888888883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5.6190476190476284E-2"/>
                  <c:y val="4.93933333333333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EFF5-4B87-A328-5D4805A8E674}"/>
                </c:ext>
                <c:ext xmlns:c15="http://schemas.microsoft.com/office/drawing/2012/chart" uri="{CE6537A1-D6FC-4f65-9D91-7224C49458BB}">
                  <c15:layout>
                    <c:manualLayout>
                      <c:w val="0.10417023809523809"/>
                      <c:h val="1.9459333333333332E-2"/>
                    </c:manualLayout>
                  </c15:layout>
                </c:ext>
              </c:extLst>
            </c:dLbl>
            <c:dLbl>
              <c:idx val="18"/>
              <c:layout>
                <c:manualLayout>
                  <c:x val="-5.7777380952381045E-2"/>
                  <c:y val="3.5271111111111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5.8525793650793745E-2"/>
                  <c:y val="3.52600000000005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6.3751587301587295E-2"/>
                  <c:y val="3.52622222222222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6.4498015873015874E-2"/>
                  <c:y val="1.5075555555556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6.4500793650793739E-2"/>
                  <c:y val="3.52688888888894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7.055238095238095E-2"/>
                  <c:y val="3.52622222222222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EFF5-4B87-A328-5D4805A8E674}"/>
                </c:ext>
                <c:ext xmlns:c15="http://schemas.microsoft.com/office/drawing/2012/chart" uri="{CE6537A1-D6FC-4f65-9D91-7224C49458BB}">
                  <c15:layout>
                    <c:manualLayout>
                      <c:w val="0.1049255233494364"/>
                      <c:h val="3.487266666666667E-2"/>
                    </c:manualLayout>
                  </c15:layout>
                </c:ext>
              </c:extLst>
            </c:dLbl>
            <c:dLbl>
              <c:idx val="24"/>
              <c:layout>
                <c:manualLayout>
                  <c:x val="-6.8635317460317549E-2"/>
                  <c:y val="2.2100000000000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7.1066666666666764E-2"/>
                  <c:y val="8.03333333333385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7.6109126984127071E-2"/>
                  <c:y val="8.039999999999741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8.0428571428571613E-2"/>
                  <c:y val="2.3100000000000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28"/>
              <c:layout>
                <c:manualLayout>
                  <c:x val="-8.4563888888888883E-2"/>
                  <c:y val="3.62466666666666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-9.2084920634920728E-2"/>
                  <c:y val="2.11866666666667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30"/>
              <c:layout>
                <c:manualLayout>
                  <c:x val="-9.1366666666666665E-2"/>
                  <c:y val="3.6248888888889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EFF5-4B87-A328-5D4805A8E674}"/>
                </c:ext>
                <c:ext xmlns:c15="http://schemas.microsoft.com/office/drawing/2012/chart" uri="{CE6537A1-D6FC-4f65-9D91-7224C49458BB}"/>
              </c:extLst>
            </c:dLbl>
            <c:dLbl>
              <c:idx val="31"/>
              <c:layout>
                <c:manualLayout>
                  <c:x val="-0.20567817460317461"/>
                  <c:y val="3.62755555555555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EFF5-4B87-A328-5D4805A8E674}"/>
                </c:ext>
                <c:ext xmlns:c15="http://schemas.microsoft.com/office/drawing/2012/chart" uri="{CE6537A1-D6FC-4f65-9D91-7224C49458BB}">
                  <c15:layout>
                    <c:manualLayout>
                      <c:w val="0.10231825396825397"/>
                      <c:h val="2.9228222222222221E-2"/>
                    </c:manualLayout>
                  </c15:layout>
                </c:ext>
              </c:extLst>
            </c:dLbl>
            <c:numFmt formatCode="0.00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600">
                    <a:latin typeface="Arial" pitchFamily="34" charset="0"/>
                    <a:cs typeface="Arial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'Var-Ponderadas-al-Nal.'!$L$7:$L$38</c:f>
              <c:strCache>
                <c:ptCount val="32"/>
                <c:pt idx="0">
                  <c:v>Tabasco</c:v>
                </c:pt>
                <c:pt idx="1">
                  <c:v>Zacatecas</c:v>
                </c:pt>
                <c:pt idx="2">
                  <c:v>Chiapas</c:v>
                </c:pt>
                <c:pt idx="3">
                  <c:v>Baja California</c:v>
                </c:pt>
                <c:pt idx="4">
                  <c:v>Aguascalientes</c:v>
                </c:pt>
                <c:pt idx="5">
                  <c:v>Durango</c:v>
                </c:pt>
                <c:pt idx="6">
                  <c:v>Nayarit</c:v>
                </c:pt>
                <c:pt idx="7">
                  <c:v>Colima</c:v>
                </c:pt>
                <c:pt idx="8">
                  <c:v>Oaxaca</c:v>
                </c:pt>
                <c:pt idx="9">
                  <c:v>Tlaxcala</c:v>
                </c:pt>
                <c:pt idx="10">
                  <c:v>San Luis Potosí</c:v>
                </c:pt>
                <c:pt idx="11">
                  <c:v>Sinaloa</c:v>
                </c:pt>
                <c:pt idx="12">
                  <c:v>Morelos</c:v>
                </c:pt>
                <c:pt idx="13">
                  <c:v>Guerrero</c:v>
                </c:pt>
                <c:pt idx="14">
                  <c:v>Chihuahua</c:v>
                </c:pt>
                <c:pt idx="15">
                  <c:v>Yucatán</c:v>
                </c:pt>
                <c:pt idx="16">
                  <c:v>Michoacán de Ocampo</c:v>
                </c:pt>
                <c:pt idx="17">
                  <c:v>Hidalgo</c:v>
                </c:pt>
                <c:pt idx="18">
                  <c:v>Querétaro</c:v>
                </c:pt>
                <c:pt idx="19">
                  <c:v>Guanajuato</c:v>
                </c:pt>
                <c:pt idx="20">
                  <c:v>Baja California Sur</c:v>
                </c:pt>
                <c:pt idx="21">
                  <c:v>Sonora</c:v>
                </c:pt>
                <c:pt idx="22">
                  <c:v>Tamaulipas</c:v>
                </c:pt>
                <c:pt idx="23">
                  <c:v>Campeche</c:v>
                </c:pt>
                <c:pt idx="24">
                  <c:v>Puebla</c:v>
                </c:pt>
                <c:pt idx="25">
                  <c:v>Coahuila de Zaragoza</c:v>
                </c:pt>
                <c:pt idx="26">
                  <c:v>Veracruz de Ignacio de la Llave</c:v>
                </c:pt>
                <c:pt idx="27">
                  <c:v>Quintana Roo</c:v>
                </c:pt>
                <c:pt idx="28">
                  <c:v>Jalisco</c:v>
                </c:pt>
                <c:pt idx="29">
                  <c:v>México</c:v>
                </c:pt>
                <c:pt idx="30">
                  <c:v>Nuevo León</c:v>
                </c:pt>
                <c:pt idx="31">
                  <c:v>Ciudad de México</c:v>
                </c:pt>
              </c:strCache>
            </c:strRef>
          </c:cat>
          <c:val>
            <c:numRef>
              <c:f>'Var-Ponderadas-al-Nal.'!$M$7:$M$38</c:f>
              <c:numCache>
                <c:formatCode>0.00</c:formatCode>
                <c:ptCount val="32"/>
                <c:pt idx="0">
                  <c:v>-2.4512402323782932E-3</c:v>
                </c:pt>
                <c:pt idx="1">
                  <c:v>-6.4043096951985675E-3</c:v>
                </c:pt>
                <c:pt idx="2">
                  <c:v>-3.9525310239453874E-2</c:v>
                </c:pt>
                <c:pt idx="3">
                  <c:v>-4.1260561617972348E-2</c:v>
                </c:pt>
                <c:pt idx="4">
                  <c:v>-4.7965839482547547E-2</c:v>
                </c:pt>
                <c:pt idx="5">
                  <c:v>-6.4397010462689974E-2</c:v>
                </c:pt>
                <c:pt idx="6">
                  <c:v>-6.4460909208670342E-2</c:v>
                </c:pt>
                <c:pt idx="7">
                  <c:v>-7.0605030963181284E-2</c:v>
                </c:pt>
                <c:pt idx="8">
                  <c:v>-7.3097153481184757E-2</c:v>
                </c:pt>
                <c:pt idx="9">
                  <c:v>-8.8022531761456108E-2</c:v>
                </c:pt>
                <c:pt idx="10">
                  <c:v>-0.10285144921701311</c:v>
                </c:pt>
                <c:pt idx="11">
                  <c:v>-0.11252898458674455</c:v>
                </c:pt>
                <c:pt idx="12">
                  <c:v>-0.12148264885154611</c:v>
                </c:pt>
                <c:pt idx="13">
                  <c:v>-0.12538790415917264</c:v>
                </c:pt>
                <c:pt idx="14">
                  <c:v>-0.13125646177817971</c:v>
                </c:pt>
                <c:pt idx="15">
                  <c:v>-0.13952234190807508</c:v>
                </c:pt>
                <c:pt idx="16">
                  <c:v>-0.158047111497785</c:v>
                </c:pt>
                <c:pt idx="17">
                  <c:v>-0.18065082851811454</c:v>
                </c:pt>
                <c:pt idx="18">
                  <c:v>-0.19050836082232459</c:v>
                </c:pt>
                <c:pt idx="19">
                  <c:v>-0.19970975682934347</c:v>
                </c:pt>
                <c:pt idx="20">
                  <c:v>-0.2276753895217358</c:v>
                </c:pt>
                <c:pt idx="21">
                  <c:v>-0.23445002077415569</c:v>
                </c:pt>
                <c:pt idx="22">
                  <c:v>-0.25893600187993787</c:v>
                </c:pt>
                <c:pt idx="23">
                  <c:v>-0.30518642102428112</c:v>
                </c:pt>
                <c:pt idx="24">
                  <c:v>-0.33748217389085161</c:v>
                </c:pt>
                <c:pt idx="25">
                  <c:v>-0.36688527438152252</c:v>
                </c:pt>
                <c:pt idx="26">
                  <c:v>-0.43990845024979941</c:v>
                </c:pt>
                <c:pt idx="27">
                  <c:v>-0.46942517673362405</c:v>
                </c:pt>
                <c:pt idx="28">
                  <c:v>-0.47940085395210308</c:v>
                </c:pt>
                <c:pt idx="29">
                  <c:v>-0.6231517788045865</c:v>
                </c:pt>
                <c:pt idx="30">
                  <c:v>-0.62612975042451979</c:v>
                </c:pt>
                <c:pt idx="31">
                  <c:v>-2.0173860019835348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0-EFF5-4B87-A328-5D4805A8E6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gapDepth val="48"/>
        <c:shape val="cylinder"/>
        <c:axId val="-1491352672"/>
        <c:axId val="-1491354848"/>
        <c:axId val="0"/>
      </c:bar3DChart>
      <c:catAx>
        <c:axId val="-14913526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550">
                <a:latin typeface="Arial" pitchFamily="34" charset="0"/>
                <a:cs typeface="Arial" pitchFamily="34" charset="0"/>
              </a:defRPr>
            </a:pPr>
            <a:endParaRPr lang="es-MX"/>
          </a:p>
        </c:txPr>
        <c:crossAx val="-1491354848"/>
        <c:crosses val="autoZero"/>
        <c:auto val="1"/>
        <c:lblAlgn val="ctr"/>
        <c:lblOffset val="100"/>
        <c:noMultiLvlLbl val="0"/>
      </c:catAx>
      <c:valAx>
        <c:axId val="-1491354848"/>
        <c:scaling>
          <c:orientation val="minMax"/>
          <c:max val="0"/>
          <c:min val="-3"/>
        </c:scaling>
        <c:delete val="0"/>
        <c:axPos val="b"/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 sz="600">
                <a:latin typeface="Arial" pitchFamily="34" charset="0"/>
                <a:cs typeface="Arial" pitchFamily="34" charset="0"/>
              </a:defRPr>
            </a:pPr>
            <a:endParaRPr lang="es-MX"/>
          </a:p>
        </c:txPr>
        <c:crossAx val="-1491352672"/>
        <c:crosses val="autoZero"/>
        <c:crossBetween val="between"/>
        <c:majorUnit val="0.5"/>
      </c:valAx>
    </c:plotArea>
    <c:plotVisOnly val="1"/>
    <c:dispBlanksAs val="gap"/>
    <c:showDLblsOverMax val="0"/>
  </c:chart>
  <c:spPr>
    <a:noFill/>
    <a:effectLst>
      <a:outerShdw blurRad="50800" dist="12700" dir="5400000" algn="ctr" rotWithShape="0">
        <a:srgbClr val="000000"/>
      </a:outerShdw>
    </a:effectLst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B72EB8C-3A5E-4CF2-82CE-A648E646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1993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Ramos Hernández, Antonio</cp:lastModifiedBy>
  <cp:revision>8</cp:revision>
  <cp:lastPrinted>2021-02-19T20:11:00Z</cp:lastPrinted>
  <dcterms:created xsi:type="dcterms:W3CDTF">2021-02-04T16:48:00Z</dcterms:created>
  <dcterms:modified xsi:type="dcterms:W3CDTF">2021-02-19T20:12:00Z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