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79" w:rsidRDefault="00042679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>
        <w:rPr>
          <w:rFonts w:ascii="Arial" w:eastAsia="Calibri" w:hAnsi="Arial" w:cs="Arial"/>
          <w:b/>
          <w:spacing w:val="-1"/>
          <w:sz w:val="17"/>
          <w:szCs w:val="17"/>
        </w:rPr>
        <w:t>INGRESOS PRESUPUESTARIOS</w:t>
      </w:r>
    </w:p>
    <w:p w:rsidR="00042679" w:rsidRPr="007B4672" w:rsidRDefault="00042679" w:rsidP="0004267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4C66A7" w:rsidRDefault="004C66A7" w:rsidP="00AA10DE">
      <w:pPr>
        <w:autoSpaceDE w:val="0"/>
        <w:autoSpaceDN w:val="0"/>
        <w:adjustRightInd w:val="0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AF5FC9" w:rsidRDefault="00AF5FC9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AF5FC9">
        <w:rPr>
          <w:rFonts w:ascii="Arial" w:eastAsia="Calibri" w:hAnsi="Arial" w:cs="Arial"/>
          <w:spacing w:val="-1"/>
          <w:sz w:val="22"/>
          <w:szCs w:val="17"/>
        </w:rPr>
        <w:t>Para la elaboración de la Ley de Ingresos del Estado de Queréta</w:t>
      </w:r>
      <w:r w:rsidR="00D24999">
        <w:rPr>
          <w:rFonts w:ascii="Arial" w:eastAsia="Calibri" w:hAnsi="Arial" w:cs="Arial"/>
          <w:spacing w:val="-1"/>
          <w:sz w:val="22"/>
          <w:szCs w:val="17"/>
        </w:rPr>
        <w:t>ro para el ejercicio fiscal 2020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, se consideró entre otros aspectos, que las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e</w:t>
      </w:r>
      <w:r w:rsidR="00ED537E">
        <w:rPr>
          <w:rFonts w:ascii="Arial" w:eastAsia="Calibri" w:hAnsi="Arial" w:cs="Arial"/>
          <w:spacing w:val="-1"/>
          <w:sz w:val="22"/>
          <w:szCs w:val="17"/>
        </w:rPr>
        <w:t xml:space="preserve">xpectativas </w:t>
      </w:r>
      <w:r w:rsidR="00D24999">
        <w:rPr>
          <w:rFonts w:ascii="Arial" w:eastAsia="Calibri" w:hAnsi="Arial" w:cs="Arial"/>
          <w:spacing w:val="-1"/>
          <w:sz w:val="22"/>
          <w:szCs w:val="17"/>
        </w:rPr>
        <w:t>económicas para 2020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 xml:space="preserve"> estimaban un crecimiento del Producto Interno Bruto </w:t>
      </w:r>
      <w:r w:rsidR="00D24999">
        <w:rPr>
          <w:rFonts w:ascii="Arial" w:eastAsia="Calibri" w:hAnsi="Arial" w:cs="Arial"/>
          <w:spacing w:val="-1"/>
          <w:sz w:val="22"/>
          <w:szCs w:val="17"/>
        </w:rPr>
        <w:t>entre 1</w:t>
      </w:r>
      <w:r w:rsidR="00EA4E80">
        <w:rPr>
          <w:rFonts w:ascii="Arial" w:eastAsia="Calibri" w:hAnsi="Arial" w:cs="Arial"/>
          <w:spacing w:val="-1"/>
          <w:sz w:val="22"/>
          <w:szCs w:val="17"/>
        </w:rPr>
        <w:t>.5</w:t>
      </w:r>
      <w:r w:rsidR="00D24999">
        <w:rPr>
          <w:rFonts w:ascii="Arial" w:eastAsia="Calibri" w:hAnsi="Arial" w:cs="Arial"/>
          <w:spacing w:val="-1"/>
          <w:sz w:val="22"/>
          <w:szCs w:val="17"/>
        </w:rPr>
        <w:t>% y de 2</w:t>
      </w:r>
      <w:r w:rsidR="00EA4E80">
        <w:rPr>
          <w:rFonts w:ascii="Arial" w:eastAsia="Calibri" w:hAnsi="Arial" w:cs="Arial"/>
          <w:spacing w:val="-1"/>
          <w:sz w:val="22"/>
          <w:szCs w:val="17"/>
        </w:rPr>
        <w:t>.5</w:t>
      </w:r>
      <w:r>
        <w:rPr>
          <w:rFonts w:ascii="Arial" w:eastAsia="Calibri" w:hAnsi="Arial" w:cs="Arial"/>
          <w:spacing w:val="-1"/>
          <w:sz w:val="22"/>
          <w:szCs w:val="17"/>
        </w:rPr>
        <w:t xml:space="preserve">% así como una inflación </w:t>
      </w:r>
      <w:r w:rsidR="00ED537E">
        <w:rPr>
          <w:rFonts w:ascii="Arial" w:eastAsia="Calibri" w:hAnsi="Arial" w:cs="Arial"/>
          <w:spacing w:val="-1"/>
          <w:sz w:val="22"/>
          <w:szCs w:val="17"/>
        </w:rPr>
        <w:t>de</w:t>
      </w:r>
      <w:r w:rsidR="00EA4E80">
        <w:rPr>
          <w:rFonts w:ascii="Arial" w:eastAsia="Calibri" w:hAnsi="Arial" w:cs="Arial"/>
          <w:spacing w:val="-1"/>
          <w:sz w:val="22"/>
          <w:szCs w:val="17"/>
        </w:rPr>
        <w:t xml:space="preserve"> 3</w:t>
      </w:r>
      <w:r>
        <w:rPr>
          <w:rFonts w:ascii="Arial" w:eastAsia="Calibri" w:hAnsi="Arial" w:cs="Arial"/>
          <w:spacing w:val="-1"/>
          <w:sz w:val="22"/>
          <w:szCs w:val="17"/>
        </w:rPr>
        <w:t>% anual.</w:t>
      </w:r>
    </w:p>
    <w:p w:rsidR="00AF5FC9" w:rsidRDefault="00AF5FC9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2D516D" w:rsidRDefault="002D516D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AF5FC9" w:rsidRDefault="00AF5FC9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AF5FC9">
        <w:rPr>
          <w:rFonts w:ascii="Arial" w:eastAsia="Calibri" w:hAnsi="Arial" w:cs="Arial"/>
          <w:spacing w:val="-1"/>
          <w:sz w:val="22"/>
          <w:szCs w:val="17"/>
        </w:rPr>
        <w:t>Se estimó</w:t>
      </w:r>
      <w:r w:rsidR="00ED537E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que</w:t>
      </w:r>
      <w:r w:rsidR="00EA4E80">
        <w:rPr>
          <w:rFonts w:ascii="Arial" w:eastAsia="Calibri" w:hAnsi="Arial" w:cs="Arial"/>
          <w:spacing w:val="-1"/>
          <w:sz w:val="22"/>
          <w:szCs w:val="17"/>
        </w:rPr>
        <w:t xml:space="preserve"> los ingresos crecerían un 1</w:t>
      </w:r>
      <w:r w:rsidR="00D24999">
        <w:rPr>
          <w:rFonts w:ascii="Arial" w:eastAsia="Calibri" w:hAnsi="Arial" w:cs="Arial"/>
          <w:spacing w:val="-1"/>
          <w:sz w:val="22"/>
          <w:szCs w:val="17"/>
        </w:rPr>
        <w:t>0.1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% con respecto a la Ley de Ingresos del Estado de Queréta</w:t>
      </w:r>
      <w:r w:rsidR="00ED537E">
        <w:rPr>
          <w:rFonts w:ascii="Arial" w:eastAsia="Calibri" w:hAnsi="Arial" w:cs="Arial"/>
          <w:spacing w:val="-1"/>
          <w:sz w:val="22"/>
          <w:szCs w:val="17"/>
        </w:rPr>
        <w:t>ro para el ejercicio fis</w:t>
      </w:r>
      <w:r w:rsidR="00801F83">
        <w:rPr>
          <w:rFonts w:ascii="Arial" w:eastAsia="Calibri" w:hAnsi="Arial" w:cs="Arial"/>
          <w:spacing w:val="-1"/>
          <w:sz w:val="22"/>
          <w:szCs w:val="17"/>
        </w:rPr>
        <w:t xml:space="preserve">cal </w:t>
      </w:r>
      <w:r w:rsidR="00D87EA1">
        <w:rPr>
          <w:rFonts w:ascii="Arial" w:eastAsia="Calibri" w:hAnsi="Arial" w:cs="Arial"/>
          <w:spacing w:val="-1"/>
          <w:sz w:val="22"/>
          <w:szCs w:val="17"/>
        </w:rPr>
        <w:t>201</w:t>
      </w:r>
      <w:r w:rsidR="00D24999">
        <w:rPr>
          <w:rFonts w:ascii="Arial" w:eastAsia="Calibri" w:hAnsi="Arial" w:cs="Arial"/>
          <w:spacing w:val="-1"/>
          <w:sz w:val="22"/>
          <w:szCs w:val="17"/>
        </w:rPr>
        <w:t>9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. Este</w:t>
      </w:r>
      <w:r w:rsidR="00ED537E">
        <w:rPr>
          <w:rFonts w:ascii="Arial" w:eastAsia="Calibri" w:hAnsi="Arial" w:cs="Arial"/>
          <w:spacing w:val="-1"/>
          <w:sz w:val="22"/>
          <w:szCs w:val="17"/>
        </w:rPr>
        <w:t xml:space="preserve"> c</w:t>
      </w:r>
      <w:r w:rsidR="00ED537E" w:rsidRPr="00AF5FC9">
        <w:rPr>
          <w:rFonts w:ascii="Arial" w:eastAsia="Calibri" w:hAnsi="Arial" w:cs="Arial"/>
          <w:spacing w:val="-1"/>
          <w:sz w:val="22"/>
          <w:szCs w:val="17"/>
        </w:rPr>
        <w:t>omportamiento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 xml:space="preserve"> se debería principalmente, </w:t>
      </w:r>
      <w:r w:rsidR="00ED537E">
        <w:rPr>
          <w:rFonts w:ascii="Arial" w:eastAsia="Calibri" w:hAnsi="Arial" w:cs="Arial"/>
          <w:spacing w:val="-1"/>
          <w:sz w:val="22"/>
          <w:szCs w:val="17"/>
        </w:rPr>
        <w:t>al crecimien</w:t>
      </w:r>
      <w:r w:rsidR="00EA4E80">
        <w:rPr>
          <w:rFonts w:ascii="Arial" w:eastAsia="Calibri" w:hAnsi="Arial" w:cs="Arial"/>
          <w:spacing w:val="-1"/>
          <w:sz w:val="22"/>
          <w:szCs w:val="17"/>
        </w:rPr>
        <w:t>t</w:t>
      </w:r>
      <w:r w:rsidR="00D24999">
        <w:rPr>
          <w:rFonts w:ascii="Arial" w:eastAsia="Calibri" w:hAnsi="Arial" w:cs="Arial"/>
          <w:spacing w:val="-1"/>
          <w:sz w:val="22"/>
          <w:szCs w:val="17"/>
        </w:rPr>
        <w:t>o de los ingresos propios en 9</w:t>
      </w:r>
      <w:r w:rsidR="00ED537E">
        <w:rPr>
          <w:rFonts w:ascii="Arial" w:eastAsia="Calibri" w:hAnsi="Arial" w:cs="Arial"/>
          <w:spacing w:val="-1"/>
          <w:sz w:val="22"/>
          <w:szCs w:val="17"/>
        </w:rPr>
        <w:t xml:space="preserve">%, 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al incremento de las part</w:t>
      </w:r>
      <w:r w:rsidR="00D24999">
        <w:rPr>
          <w:rFonts w:ascii="Arial" w:eastAsia="Calibri" w:hAnsi="Arial" w:cs="Arial"/>
          <w:spacing w:val="-1"/>
          <w:sz w:val="22"/>
          <w:szCs w:val="17"/>
        </w:rPr>
        <w:t>icipaciones federales en un 13.6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%.</w:t>
      </w:r>
    </w:p>
    <w:p w:rsidR="00ED537E" w:rsidRDefault="00ED537E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2D516D" w:rsidRPr="00AF5FC9" w:rsidRDefault="002D516D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AF5FC9" w:rsidRDefault="00AF5FC9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AF5FC9">
        <w:rPr>
          <w:rFonts w:ascii="Arial" w:eastAsia="Calibri" w:hAnsi="Arial" w:cs="Arial"/>
          <w:spacing w:val="-1"/>
          <w:sz w:val="22"/>
          <w:szCs w:val="17"/>
        </w:rPr>
        <w:t>El monto total estimado en la Ley de Ingresos del Estado de Querétaro para el ejercicio fi</w:t>
      </w:r>
      <w:r w:rsidR="00531864">
        <w:rPr>
          <w:rFonts w:ascii="Arial" w:eastAsia="Calibri" w:hAnsi="Arial" w:cs="Arial"/>
          <w:spacing w:val="-1"/>
          <w:sz w:val="22"/>
          <w:szCs w:val="17"/>
        </w:rPr>
        <w:t>scal 2020</w:t>
      </w:r>
      <w:r w:rsidRPr="00AF5FC9">
        <w:rPr>
          <w:rFonts w:ascii="Arial" w:eastAsia="Calibri" w:hAnsi="Arial" w:cs="Arial"/>
          <w:spacing w:val="-1"/>
          <w:sz w:val="22"/>
          <w:szCs w:val="17"/>
        </w:rPr>
        <w:t>, ascendió a la cantidad de</w:t>
      </w:r>
      <w:r w:rsidR="00531864">
        <w:rPr>
          <w:rFonts w:ascii="Arial" w:eastAsia="Calibri" w:hAnsi="Arial" w:cs="Arial"/>
          <w:spacing w:val="-1"/>
          <w:sz w:val="22"/>
          <w:szCs w:val="17"/>
        </w:rPr>
        <w:t xml:space="preserve"> $37</w:t>
      </w:r>
      <w:proofErr w:type="gramStart"/>
      <w:r w:rsidR="00531864">
        <w:rPr>
          <w:rFonts w:ascii="Arial" w:eastAsia="Calibri" w:hAnsi="Arial" w:cs="Arial"/>
          <w:spacing w:val="-1"/>
          <w:sz w:val="22"/>
          <w:szCs w:val="17"/>
        </w:rPr>
        <w:t>,066,774</w:t>
      </w:r>
      <w:r w:rsidR="00ED537E">
        <w:rPr>
          <w:rFonts w:ascii="Arial" w:eastAsia="Calibri" w:hAnsi="Arial" w:cs="Arial"/>
          <w:spacing w:val="-1"/>
          <w:sz w:val="22"/>
          <w:szCs w:val="17"/>
        </w:rPr>
        <w:t>,</w:t>
      </w:r>
      <w:r w:rsidR="00531864">
        <w:rPr>
          <w:rFonts w:ascii="Arial" w:eastAsia="Calibri" w:hAnsi="Arial" w:cs="Arial"/>
          <w:spacing w:val="-1"/>
          <w:sz w:val="22"/>
          <w:szCs w:val="17"/>
        </w:rPr>
        <w:t>50</w:t>
      </w:r>
      <w:r w:rsidR="00330B1D">
        <w:rPr>
          <w:rFonts w:ascii="Arial" w:eastAsia="Calibri" w:hAnsi="Arial" w:cs="Arial"/>
          <w:spacing w:val="-1"/>
          <w:sz w:val="22"/>
          <w:szCs w:val="17"/>
        </w:rPr>
        <w:t>6</w:t>
      </w:r>
      <w:proofErr w:type="gramEnd"/>
      <w:r w:rsidR="00330B1D">
        <w:rPr>
          <w:rFonts w:ascii="Arial" w:eastAsia="Calibri" w:hAnsi="Arial" w:cs="Arial"/>
          <w:spacing w:val="-1"/>
          <w:sz w:val="22"/>
          <w:szCs w:val="17"/>
        </w:rPr>
        <w:t>.</w:t>
      </w:r>
    </w:p>
    <w:p w:rsidR="0082068D" w:rsidRDefault="0082068D">
      <w:pPr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br w:type="page"/>
      </w:r>
    </w:p>
    <w:p w:rsidR="00ED537E" w:rsidRPr="00AF5FC9" w:rsidRDefault="00ED537E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4C66A7" w:rsidRPr="009C4CB1" w:rsidRDefault="00C14E7F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t>Destacando en el ejercicio 2020</w:t>
      </w:r>
      <w:r w:rsidR="00AF5FC9" w:rsidRPr="00AF5FC9">
        <w:rPr>
          <w:rFonts w:ascii="Arial" w:eastAsia="Calibri" w:hAnsi="Arial" w:cs="Arial"/>
          <w:spacing w:val="-1"/>
          <w:sz w:val="22"/>
          <w:szCs w:val="17"/>
        </w:rPr>
        <w:t>, un aumento en los ingresos</w:t>
      </w:r>
      <w:r w:rsidR="008032D4">
        <w:rPr>
          <w:rFonts w:ascii="Arial" w:eastAsia="Calibri" w:hAnsi="Arial" w:cs="Arial"/>
          <w:spacing w:val="-1"/>
          <w:sz w:val="22"/>
          <w:szCs w:val="17"/>
        </w:rPr>
        <w:t xml:space="preserve"> totales en un </w:t>
      </w:r>
      <w:r>
        <w:rPr>
          <w:rFonts w:ascii="Arial" w:eastAsia="Calibri" w:hAnsi="Arial" w:cs="Arial"/>
          <w:spacing w:val="-1"/>
          <w:sz w:val="22"/>
          <w:szCs w:val="17"/>
        </w:rPr>
        <w:t>1</w:t>
      </w:r>
      <w:r w:rsidR="00086F05">
        <w:rPr>
          <w:rFonts w:ascii="Arial" w:eastAsia="Calibri" w:hAnsi="Arial" w:cs="Arial"/>
          <w:spacing w:val="-1"/>
          <w:sz w:val="22"/>
          <w:szCs w:val="17"/>
        </w:rPr>
        <w:t>.</w:t>
      </w:r>
      <w:r w:rsidR="002026A2">
        <w:rPr>
          <w:rFonts w:ascii="Arial" w:eastAsia="Calibri" w:hAnsi="Arial" w:cs="Arial"/>
          <w:spacing w:val="-1"/>
          <w:sz w:val="22"/>
          <w:szCs w:val="17"/>
        </w:rPr>
        <w:t>76</w:t>
      </w:r>
      <w:r w:rsidR="00AF5FC9" w:rsidRPr="00AF5FC9">
        <w:rPr>
          <w:rFonts w:ascii="Arial" w:eastAsia="Calibri" w:hAnsi="Arial" w:cs="Arial"/>
          <w:spacing w:val="-1"/>
          <w:sz w:val="22"/>
          <w:szCs w:val="17"/>
        </w:rPr>
        <w:t>% en relación a lo estimado. El detalle se presenta en la</w:t>
      </w:r>
      <w:r w:rsidR="00BF7C5D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AF5FC9" w:rsidRPr="00AF5FC9">
        <w:rPr>
          <w:rFonts w:ascii="Arial" w:eastAsia="Calibri" w:hAnsi="Arial" w:cs="Arial"/>
          <w:spacing w:val="-1"/>
          <w:sz w:val="22"/>
          <w:szCs w:val="17"/>
        </w:rPr>
        <w:t>información Presupuestaria del Tomo III de la presente Cuenta Pública.</w:t>
      </w:r>
    </w:p>
    <w:p w:rsidR="00357BAC" w:rsidRPr="009C4CB1" w:rsidRDefault="00357BAC" w:rsidP="009C4CB1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357BAC" w:rsidRDefault="00885182" w:rsidP="00C2074A">
      <w:pPr>
        <w:ind w:left="1418" w:firstLine="709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068D" w:rsidRDefault="0082068D" w:rsidP="00357BAC">
      <w:pPr>
        <w:ind w:left="2836" w:firstLine="709"/>
        <w:rPr>
          <w:rFonts w:ascii="Arial" w:hAnsi="Arial" w:cs="Arial"/>
          <w:b/>
          <w:sz w:val="17"/>
          <w:szCs w:val="17"/>
        </w:rPr>
      </w:pPr>
    </w:p>
    <w:p w:rsidR="0082068D" w:rsidRDefault="0082068D">
      <w:pPr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eastAsia="Calibri" w:hAnsi="Arial" w:cs="Arial"/>
          <w:spacing w:val="-1"/>
          <w:sz w:val="22"/>
          <w:szCs w:val="17"/>
        </w:rPr>
        <w:br w:type="page"/>
      </w:r>
      <w:bookmarkStart w:id="0" w:name="_GoBack"/>
      <w:bookmarkEnd w:id="0"/>
    </w:p>
    <w:p w:rsidR="004C66A7" w:rsidRDefault="00195DCD" w:rsidP="00995E86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spacing w:val="-1"/>
          <w:sz w:val="22"/>
          <w:szCs w:val="17"/>
        </w:rPr>
      </w:pPr>
      <w:r w:rsidRPr="00195DCD">
        <w:rPr>
          <w:rFonts w:ascii="Arial" w:eastAsia="Calibri" w:hAnsi="Arial" w:cs="Arial"/>
          <w:spacing w:val="-1"/>
          <w:sz w:val="22"/>
          <w:szCs w:val="17"/>
        </w:rPr>
        <w:lastRenderedPageBreak/>
        <w:t>El rubro de ingresos p</w:t>
      </w:r>
      <w:r w:rsidR="00F37422">
        <w:rPr>
          <w:rFonts w:ascii="Arial" w:eastAsia="Calibri" w:hAnsi="Arial" w:cs="Arial"/>
          <w:spacing w:val="-1"/>
          <w:sz w:val="22"/>
          <w:szCs w:val="17"/>
        </w:rPr>
        <w:t>rop</w:t>
      </w:r>
      <w:r w:rsidR="00D17AA9">
        <w:rPr>
          <w:rFonts w:ascii="Arial" w:eastAsia="Calibri" w:hAnsi="Arial" w:cs="Arial"/>
          <w:spacing w:val="-1"/>
          <w:sz w:val="22"/>
          <w:szCs w:val="17"/>
        </w:rPr>
        <w:t xml:space="preserve">ios recaudados </w:t>
      </w:r>
      <w:r w:rsidR="004D3D88">
        <w:rPr>
          <w:rFonts w:ascii="Arial" w:eastAsia="Calibri" w:hAnsi="Arial" w:cs="Arial"/>
          <w:spacing w:val="-1"/>
          <w:sz w:val="22"/>
          <w:szCs w:val="17"/>
        </w:rPr>
        <w:t xml:space="preserve">se </w:t>
      </w:r>
      <w:r w:rsidR="00D17AA9">
        <w:rPr>
          <w:rFonts w:ascii="Arial" w:eastAsia="Calibri" w:hAnsi="Arial" w:cs="Arial"/>
          <w:spacing w:val="-1"/>
          <w:sz w:val="22"/>
          <w:szCs w:val="17"/>
        </w:rPr>
        <w:t>registró un 10.08.% por debajo</w:t>
      </w:r>
      <w:r w:rsidRPr="00195DCD">
        <w:rPr>
          <w:rFonts w:ascii="Arial" w:eastAsia="Calibri" w:hAnsi="Arial" w:cs="Arial"/>
          <w:spacing w:val="-1"/>
          <w:sz w:val="22"/>
          <w:szCs w:val="17"/>
        </w:rPr>
        <w:t xml:space="preserve"> de lo estimado, y en el caso de los recursos provenientes de los</w:t>
      </w:r>
      <w:r w:rsidR="004D3D88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195DCD">
        <w:rPr>
          <w:rFonts w:ascii="Arial" w:eastAsia="Calibri" w:hAnsi="Arial" w:cs="Arial"/>
          <w:spacing w:val="-1"/>
          <w:sz w:val="22"/>
          <w:szCs w:val="17"/>
        </w:rPr>
        <w:t xml:space="preserve">rubros de </w:t>
      </w:r>
      <w:r w:rsidR="00995E86" w:rsidRPr="00995E86">
        <w:rPr>
          <w:rFonts w:ascii="Arial" w:eastAsia="Calibri" w:hAnsi="Arial" w:cs="Arial"/>
          <w:spacing w:val="-1"/>
          <w:sz w:val="22"/>
          <w:szCs w:val="17"/>
        </w:rPr>
        <w:t>Participaciones, Aportaciones, Convenios, Incentivos Derivados</w:t>
      </w:r>
      <w:r w:rsidR="00995E86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="00995E86" w:rsidRPr="00995E86">
        <w:rPr>
          <w:rFonts w:ascii="Arial" w:eastAsia="Calibri" w:hAnsi="Arial" w:cs="Arial"/>
          <w:spacing w:val="-1"/>
          <w:sz w:val="22"/>
          <w:szCs w:val="17"/>
        </w:rPr>
        <w:t>de la Colaboración Fiscal y Fondos Distintos de Aportaciones</w:t>
      </w:r>
      <w:r w:rsidR="00614F7E">
        <w:rPr>
          <w:rFonts w:ascii="Arial" w:eastAsia="Calibri" w:hAnsi="Arial" w:cs="Arial"/>
          <w:spacing w:val="-1"/>
          <w:sz w:val="22"/>
          <w:szCs w:val="17"/>
        </w:rPr>
        <w:t xml:space="preserve">, lo </w:t>
      </w:r>
      <w:r w:rsidR="00D17AA9">
        <w:rPr>
          <w:rFonts w:ascii="Arial" w:eastAsia="Calibri" w:hAnsi="Arial" w:cs="Arial"/>
          <w:spacing w:val="-1"/>
          <w:sz w:val="22"/>
          <w:szCs w:val="17"/>
        </w:rPr>
        <w:t>recaudado fue superior 3.63</w:t>
      </w:r>
      <w:r w:rsidRPr="00195DCD">
        <w:rPr>
          <w:rFonts w:ascii="Arial" w:eastAsia="Calibri" w:hAnsi="Arial" w:cs="Arial"/>
          <w:spacing w:val="-1"/>
          <w:sz w:val="22"/>
          <w:szCs w:val="17"/>
        </w:rPr>
        <w:t>% respecto</w:t>
      </w:r>
      <w:r w:rsidR="00614F7E">
        <w:rPr>
          <w:rFonts w:ascii="Arial" w:eastAsia="Calibri" w:hAnsi="Arial" w:cs="Arial"/>
          <w:spacing w:val="-1"/>
          <w:sz w:val="22"/>
          <w:szCs w:val="17"/>
        </w:rPr>
        <w:t xml:space="preserve"> </w:t>
      </w:r>
      <w:r w:rsidRPr="00195DCD">
        <w:rPr>
          <w:rFonts w:ascii="Arial" w:eastAsia="Calibri" w:hAnsi="Arial" w:cs="Arial"/>
          <w:spacing w:val="-1"/>
          <w:sz w:val="22"/>
          <w:szCs w:val="17"/>
        </w:rPr>
        <w:t>de lo estimado.</w:t>
      </w:r>
    </w:p>
    <w:p w:rsidR="00C2074A" w:rsidRDefault="00C2074A" w:rsidP="00C2074A">
      <w:pPr>
        <w:autoSpaceDE w:val="0"/>
        <w:autoSpaceDN w:val="0"/>
        <w:adjustRightInd w:val="0"/>
        <w:spacing w:line="480" w:lineRule="auto"/>
        <w:ind w:left="2127" w:firstLine="709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 wp14:anchorId="00049913" wp14:editId="4B7127E5">
            <wp:extent cx="5133975" cy="2114550"/>
            <wp:effectExtent l="0" t="0" r="9525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516D" w:rsidRDefault="002D516D" w:rsidP="00C2074A">
      <w:pPr>
        <w:autoSpaceDE w:val="0"/>
        <w:autoSpaceDN w:val="0"/>
        <w:adjustRightInd w:val="0"/>
        <w:spacing w:line="480" w:lineRule="auto"/>
        <w:ind w:left="2127" w:firstLine="709"/>
        <w:jc w:val="both"/>
        <w:rPr>
          <w:rFonts w:ascii="Arial" w:eastAsia="Calibri" w:hAnsi="Arial" w:cs="Arial"/>
          <w:spacing w:val="-1"/>
          <w:sz w:val="22"/>
          <w:szCs w:val="17"/>
        </w:rPr>
      </w:pPr>
    </w:p>
    <w:p w:rsidR="003E67A3" w:rsidRPr="00195DCD" w:rsidRDefault="003E67A3" w:rsidP="00C2074A">
      <w:pPr>
        <w:autoSpaceDE w:val="0"/>
        <w:autoSpaceDN w:val="0"/>
        <w:adjustRightInd w:val="0"/>
        <w:spacing w:line="480" w:lineRule="auto"/>
        <w:ind w:left="2127" w:firstLine="709"/>
        <w:jc w:val="both"/>
        <w:rPr>
          <w:rFonts w:ascii="Arial" w:eastAsia="Calibri" w:hAnsi="Arial" w:cs="Arial"/>
          <w:spacing w:val="-1"/>
          <w:sz w:val="22"/>
          <w:szCs w:val="17"/>
        </w:rPr>
      </w:pPr>
      <w:r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 wp14:anchorId="1085BC24" wp14:editId="758F63BA">
            <wp:extent cx="5133975" cy="2266950"/>
            <wp:effectExtent l="0" t="0" r="9525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3E67A3" w:rsidRPr="00195DCD" w:rsidSect="00E31478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5840" w:h="12240" w:orient="landscape" w:code="1"/>
      <w:pgMar w:top="1701" w:right="1418" w:bottom="1134" w:left="1134" w:header="851" w:footer="567" w:gutter="0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95" w:rsidRDefault="00D21E95">
      <w:r>
        <w:separator/>
      </w:r>
    </w:p>
  </w:endnote>
  <w:endnote w:type="continuationSeparator" w:id="0">
    <w:p w:rsidR="00D21E95" w:rsidRDefault="00D2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042679">
      <w:rPr>
        <w:rFonts w:ascii="Avenir LT Std 45 Book" w:hAnsi="Avenir LT Std 45 Book" w:cs="Arial"/>
        <w:color w:val="808080"/>
        <w:szCs w:val="20"/>
      </w:rPr>
      <w:t>INGRESOS PRESUPUESTARIOS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C0C17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C0C17">
      <w:rPr>
        <w:rFonts w:ascii="Avenir LT Std 45 Book" w:hAnsi="Avenir LT Std 45 Book" w:cs="Arial"/>
        <w:noProof/>
        <w:color w:val="808080"/>
        <w:szCs w:val="20"/>
      </w:rPr>
      <w:t>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954205" w:rsidRDefault="00AA7547" w:rsidP="00813029">
    <w:pPr>
      <w:pStyle w:val="Textoindependiente3"/>
      <w:tabs>
        <w:tab w:val="right" w:pos="13288"/>
      </w:tabs>
      <w:rPr>
        <w:rFonts w:asciiTheme="minorHAnsi" w:hAnsiTheme="minorHAnsi" w:cstheme="minorHAnsi"/>
        <w:color w:val="80808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95" w:rsidRDefault="00D21E95">
      <w:r>
        <w:separator/>
      </w:r>
    </w:p>
  </w:footnote>
  <w:footnote w:type="continuationSeparator" w:id="0">
    <w:p w:rsidR="00D21E95" w:rsidRDefault="00D21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C93902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C93902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2020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042679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ESTADO DE QUERÉTARO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679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19C8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86F05"/>
    <w:rsid w:val="00087023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5C11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390"/>
    <w:rsid w:val="000E4D88"/>
    <w:rsid w:val="000E546D"/>
    <w:rsid w:val="000F0E37"/>
    <w:rsid w:val="000F12DA"/>
    <w:rsid w:val="000F17A5"/>
    <w:rsid w:val="000F2A98"/>
    <w:rsid w:val="000F44F2"/>
    <w:rsid w:val="000F72A0"/>
    <w:rsid w:val="000F74C6"/>
    <w:rsid w:val="000F79B7"/>
    <w:rsid w:val="001000AE"/>
    <w:rsid w:val="00101379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AD6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DCD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83D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1F4F56"/>
    <w:rsid w:val="00200A51"/>
    <w:rsid w:val="002015DB"/>
    <w:rsid w:val="00201E62"/>
    <w:rsid w:val="002020EC"/>
    <w:rsid w:val="002026A2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9FA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0D6F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5851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16D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0B1D"/>
    <w:rsid w:val="00331133"/>
    <w:rsid w:val="00331243"/>
    <w:rsid w:val="0033302B"/>
    <w:rsid w:val="00335483"/>
    <w:rsid w:val="00336A72"/>
    <w:rsid w:val="00337FDA"/>
    <w:rsid w:val="003406CE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4BA"/>
    <w:rsid w:val="00352675"/>
    <w:rsid w:val="00353E1D"/>
    <w:rsid w:val="003556AE"/>
    <w:rsid w:val="003560BA"/>
    <w:rsid w:val="00357944"/>
    <w:rsid w:val="00357BAC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3A3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7A3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07227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5863"/>
    <w:rsid w:val="00436CA6"/>
    <w:rsid w:val="00441C6F"/>
    <w:rsid w:val="0044221B"/>
    <w:rsid w:val="004440E5"/>
    <w:rsid w:val="00444534"/>
    <w:rsid w:val="00444ED5"/>
    <w:rsid w:val="004456AB"/>
    <w:rsid w:val="00445B44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2BB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253E"/>
    <w:rsid w:val="004B59B5"/>
    <w:rsid w:val="004B5C83"/>
    <w:rsid w:val="004C1719"/>
    <w:rsid w:val="004C1BA7"/>
    <w:rsid w:val="004C2FFF"/>
    <w:rsid w:val="004C339D"/>
    <w:rsid w:val="004C4FF6"/>
    <w:rsid w:val="004C60BE"/>
    <w:rsid w:val="004C66A7"/>
    <w:rsid w:val="004C68EB"/>
    <w:rsid w:val="004C6B99"/>
    <w:rsid w:val="004C6E9E"/>
    <w:rsid w:val="004D021F"/>
    <w:rsid w:val="004D054E"/>
    <w:rsid w:val="004D2269"/>
    <w:rsid w:val="004D385F"/>
    <w:rsid w:val="004D3D88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16C2B"/>
    <w:rsid w:val="005207C4"/>
    <w:rsid w:val="00525356"/>
    <w:rsid w:val="0052576B"/>
    <w:rsid w:val="005265BA"/>
    <w:rsid w:val="00530766"/>
    <w:rsid w:val="00531864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3DDB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3CB0"/>
    <w:rsid w:val="005F6A84"/>
    <w:rsid w:val="00601445"/>
    <w:rsid w:val="00601AE6"/>
    <w:rsid w:val="006021DE"/>
    <w:rsid w:val="006022B0"/>
    <w:rsid w:val="00602A0F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4F7E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6062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3DF2"/>
    <w:rsid w:val="006943BE"/>
    <w:rsid w:val="00694F09"/>
    <w:rsid w:val="00695AE0"/>
    <w:rsid w:val="00697A8E"/>
    <w:rsid w:val="006A01DF"/>
    <w:rsid w:val="006A10D0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518E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45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4708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02D9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1F83"/>
    <w:rsid w:val="00803106"/>
    <w:rsid w:val="008032D4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068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2CB4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2C14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182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719"/>
    <w:rsid w:val="008E1BD8"/>
    <w:rsid w:val="008E2057"/>
    <w:rsid w:val="008E351A"/>
    <w:rsid w:val="008E4DB1"/>
    <w:rsid w:val="008E56D8"/>
    <w:rsid w:val="008E6CDF"/>
    <w:rsid w:val="008E73B5"/>
    <w:rsid w:val="008E78B8"/>
    <w:rsid w:val="008F007D"/>
    <w:rsid w:val="008F46CF"/>
    <w:rsid w:val="008F4CDD"/>
    <w:rsid w:val="008F6047"/>
    <w:rsid w:val="008F6899"/>
    <w:rsid w:val="008F6D32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252F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4205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2E64"/>
    <w:rsid w:val="009831AF"/>
    <w:rsid w:val="0098330C"/>
    <w:rsid w:val="009840CE"/>
    <w:rsid w:val="00984E02"/>
    <w:rsid w:val="00984E2B"/>
    <w:rsid w:val="009875CC"/>
    <w:rsid w:val="00987B12"/>
    <w:rsid w:val="009905DA"/>
    <w:rsid w:val="00991198"/>
    <w:rsid w:val="009911E7"/>
    <w:rsid w:val="00991F6D"/>
    <w:rsid w:val="00992AB2"/>
    <w:rsid w:val="00993C38"/>
    <w:rsid w:val="0099429A"/>
    <w:rsid w:val="00994DAA"/>
    <w:rsid w:val="00995E86"/>
    <w:rsid w:val="00996168"/>
    <w:rsid w:val="009976A1"/>
    <w:rsid w:val="00997B6C"/>
    <w:rsid w:val="00997F4C"/>
    <w:rsid w:val="009A0F85"/>
    <w:rsid w:val="009A1AD6"/>
    <w:rsid w:val="009A2838"/>
    <w:rsid w:val="009A2B0A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4CB1"/>
    <w:rsid w:val="009C5585"/>
    <w:rsid w:val="009C58B3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1C61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767C1"/>
    <w:rsid w:val="00A836AD"/>
    <w:rsid w:val="00A86078"/>
    <w:rsid w:val="00A90E3B"/>
    <w:rsid w:val="00A92123"/>
    <w:rsid w:val="00A93171"/>
    <w:rsid w:val="00A93847"/>
    <w:rsid w:val="00A963CE"/>
    <w:rsid w:val="00A97401"/>
    <w:rsid w:val="00AA10DE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5FC9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2941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1BB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4FED"/>
    <w:rsid w:val="00BC51F2"/>
    <w:rsid w:val="00BC5A5C"/>
    <w:rsid w:val="00BC7DE2"/>
    <w:rsid w:val="00BD1218"/>
    <w:rsid w:val="00BD123A"/>
    <w:rsid w:val="00BD167A"/>
    <w:rsid w:val="00BD17A5"/>
    <w:rsid w:val="00BD3126"/>
    <w:rsid w:val="00BD3FFD"/>
    <w:rsid w:val="00BD439A"/>
    <w:rsid w:val="00BD4638"/>
    <w:rsid w:val="00BD5336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BF7C5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4E7F"/>
    <w:rsid w:val="00C15F72"/>
    <w:rsid w:val="00C178E8"/>
    <w:rsid w:val="00C17CE0"/>
    <w:rsid w:val="00C17F6A"/>
    <w:rsid w:val="00C20019"/>
    <w:rsid w:val="00C2074A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159"/>
    <w:rsid w:val="00C93902"/>
    <w:rsid w:val="00C93F8B"/>
    <w:rsid w:val="00C948FD"/>
    <w:rsid w:val="00C949D2"/>
    <w:rsid w:val="00C94E71"/>
    <w:rsid w:val="00C96469"/>
    <w:rsid w:val="00C9765E"/>
    <w:rsid w:val="00CA0BAF"/>
    <w:rsid w:val="00CA0D4B"/>
    <w:rsid w:val="00CA392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0C17"/>
    <w:rsid w:val="00CC22C1"/>
    <w:rsid w:val="00CC7034"/>
    <w:rsid w:val="00CD12A6"/>
    <w:rsid w:val="00CD293A"/>
    <w:rsid w:val="00CD47E1"/>
    <w:rsid w:val="00CD77E5"/>
    <w:rsid w:val="00CE2BDB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17AA9"/>
    <w:rsid w:val="00D21A66"/>
    <w:rsid w:val="00D21E95"/>
    <w:rsid w:val="00D22622"/>
    <w:rsid w:val="00D227F7"/>
    <w:rsid w:val="00D23065"/>
    <w:rsid w:val="00D2380C"/>
    <w:rsid w:val="00D24999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15A"/>
    <w:rsid w:val="00D83310"/>
    <w:rsid w:val="00D86840"/>
    <w:rsid w:val="00D86E4A"/>
    <w:rsid w:val="00D86EE1"/>
    <w:rsid w:val="00D873B9"/>
    <w:rsid w:val="00D87EA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6BF6"/>
    <w:rsid w:val="00DB79DC"/>
    <w:rsid w:val="00DB7BFF"/>
    <w:rsid w:val="00DC25BE"/>
    <w:rsid w:val="00DC278F"/>
    <w:rsid w:val="00DC35F0"/>
    <w:rsid w:val="00DC4330"/>
    <w:rsid w:val="00DC5FA6"/>
    <w:rsid w:val="00DC66AD"/>
    <w:rsid w:val="00DC68DC"/>
    <w:rsid w:val="00DC7093"/>
    <w:rsid w:val="00DD01BA"/>
    <w:rsid w:val="00DD0C22"/>
    <w:rsid w:val="00DD1DB1"/>
    <w:rsid w:val="00DD28DC"/>
    <w:rsid w:val="00DD3D75"/>
    <w:rsid w:val="00DD4164"/>
    <w:rsid w:val="00DD42D0"/>
    <w:rsid w:val="00DD4D22"/>
    <w:rsid w:val="00DD4E3F"/>
    <w:rsid w:val="00DD576E"/>
    <w:rsid w:val="00DE20C9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072DC"/>
    <w:rsid w:val="00E11725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1478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6FD5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4E80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37E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37422"/>
    <w:rsid w:val="00F40273"/>
    <w:rsid w:val="00F40544"/>
    <w:rsid w:val="00F413EB"/>
    <w:rsid w:val="00F41795"/>
    <w:rsid w:val="00F42559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1E3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Ingresos Totales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RECAUDADO</c:v>
                </c:pt>
                <c:pt idx="1">
                  <c:v>ESTIMADO</c:v>
                </c:pt>
              </c:strCache>
            </c:strRef>
          </c:cat>
          <c:val>
            <c:numRef>
              <c:f>Hoja1!$B$2:$B$3</c:f>
              <c:numCache>
                <c:formatCode>#,##0</c:formatCode>
                <c:ptCount val="2"/>
                <c:pt idx="0">
                  <c:v>37718862340</c:v>
                </c:pt>
                <c:pt idx="1">
                  <c:v>37066774506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33-43A1-8337-379AAFE807B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-1167545328"/>
        <c:axId val="-1167544784"/>
      </c:barChart>
      <c:catAx>
        <c:axId val="-1167545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67544784"/>
        <c:crosses val="autoZero"/>
        <c:auto val="1"/>
        <c:lblAlgn val="ctr"/>
        <c:lblOffset val="100"/>
        <c:noMultiLvlLbl val="0"/>
      </c:catAx>
      <c:valAx>
        <c:axId val="-1167544784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-1167545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Ingresos Propios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RECAUDADO</c:v>
                </c:pt>
                <c:pt idx="1">
                  <c:v>ESTIMADO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4589419297</c:v>
                </c:pt>
                <c:pt idx="1">
                  <c:v>5103861596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B9-448B-A33C-5385C98F44A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-1167540432"/>
        <c:axId val="-1167539344"/>
      </c:barChart>
      <c:catAx>
        <c:axId val="-116754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67539344"/>
        <c:crosses val="autoZero"/>
        <c:auto val="1"/>
        <c:lblAlgn val="ctr"/>
        <c:lblOffset val="100"/>
        <c:noMultiLvlLbl val="0"/>
      </c:catAx>
      <c:valAx>
        <c:axId val="-11675393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167540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 sz="1600"/>
              <a:t>Participaciones, Aportaciones, Convenios, Incentivos Derivados de la Colaboración Fiscal y Fondos Distintos de Aportaciones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Participaciones, Aportaciones, Transferencias, Asiganaciones, Subsidios y Otras Ayudas Federales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numFmt formatCode="&quot;$&quot;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RECAUDADO</c:v>
                </c:pt>
                <c:pt idx="1">
                  <c:v>ESTIMADO</c:v>
                </c:pt>
              </c:strCache>
            </c:strRef>
          </c:cat>
          <c:val>
            <c:numRef>
              <c:f>Hoja1!$B$2:$B$3</c:f>
              <c:numCache>
                <c:formatCode>#,##0</c:formatCode>
                <c:ptCount val="2"/>
                <c:pt idx="0">
                  <c:v>33122897253</c:v>
                </c:pt>
                <c:pt idx="1">
                  <c:v>31962912910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2A-4CEC-B528-87214180778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-1173902960"/>
        <c:axId val="-1173893168"/>
      </c:barChart>
      <c:catAx>
        <c:axId val="-1173902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173893168"/>
        <c:crosses val="autoZero"/>
        <c:auto val="1"/>
        <c:lblAlgn val="ctr"/>
        <c:lblOffset val="100"/>
        <c:noMultiLvlLbl val="0"/>
      </c:catAx>
      <c:valAx>
        <c:axId val="-1173893168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-1173902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7F7498C-0899-462F-9C9B-87C9983C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Ramos Hernández, Antonio</cp:lastModifiedBy>
  <cp:revision>13</cp:revision>
  <cp:lastPrinted>2021-02-25T00:27:00Z</cp:lastPrinted>
  <dcterms:created xsi:type="dcterms:W3CDTF">2021-02-04T18:19:00Z</dcterms:created>
  <dcterms:modified xsi:type="dcterms:W3CDTF">2021-02-25T00:28:00Z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